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6D417" w14:textId="77777777" w:rsidR="00B54325" w:rsidRPr="00B54325" w:rsidRDefault="00B54325" w:rsidP="00B54325">
      <w:pPr>
        <w:rPr>
          <w:lang w:val="en-GR"/>
        </w:rPr>
      </w:pPr>
      <w:r w:rsidRPr="00B54325">
        <w:rPr>
          <w:lang w:val="en-GB"/>
        </w:rPr>
        <w:t>TRAUMA TV: MEDIA-INDUCED SECONDARY TRAUMATIZATION IN A SAMPLE OF TURKISH ADULTS</w:t>
      </w:r>
    </w:p>
    <w:p w14:paraId="1978D305" w14:textId="77777777" w:rsidR="00B54325" w:rsidRPr="00B54325" w:rsidRDefault="00B54325" w:rsidP="00B54325">
      <w:pPr>
        <w:rPr>
          <w:lang w:val="en-GR"/>
        </w:rPr>
      </w:pPr>
      <w:r w:rsidRPr="00B54325">
        <w:rPr>
          <w:b/>
          <w:bCs/>
          <w:lang w:val="en-US"/>
        </w:rPr>
        <w:t>DENIZ UYANIK</w:t>
      </w:r>
      <w:r w:rsidRPr="00B54325">
        <w:rPr>
          <w:b/>
          <w:bCs/>
          <w:vertAlign w:val="subscript"/>
          <w:lang w:val="en-US"/>
        </w:rPr>
        <w:t>1</w:t>
      </w:r>
      <w:r w:rsidRPr="00B54325">
        <w:rPr>
          <w:b/>
          <w:bCs/>
          <w:lang w:val="en-US"/>
        </w:rPr>
        <w:t xml:space="preserve"> &amp; VASILIKI ALEXIA VARELA</w:t>
      </w:r>
      <w:r w:rsidRPr="00B54325">
        <w:rPr>
          <w:b/>
          <w:bCs/>
          <w:vertAlign w:val="subscript"/>
          <w:lang w:val="en-US"/>
        </w:rPr>
        <w:t>2</w:t>
      </w:r>
    </w:p>
    <w:p w14:paraId="796C1816" w14:textId="77777777" w:rsidR="00B54325" w:rsidRPr="00B54325" w:rsidRDefault="00B54325" w:rsidP="00B54325">
      <w:pPr>
        <w:rPr>
          <w:lang w:val="en-GR"/>
        </w:rPr>
      </w:pPr>
      <w:r w:rsidRPr="00B54325">
        <w:rPr>
          <w:b/>
          <w:bCs/>
          <w:vertAlign w:val="superscript"/>
          <w:lang w:val="en-US"/>
        </w:rPr>
        <w:t xml:space="preserve">1 </w:t>
      </w:r>
      <w:r w:rsidRPr="00B54325">
        <w:rPr>
          <w:lang w:val="en-US"/>
        </w:rPr>
        <w:t>Department of Psychology, New York College, Athens, Greece &amp; Department of Psychology, Bolton University, Bolton, UK.</w:t>
      </w:r>
      <w:r w:rsidRPr="00B54325">
        <w:rPr>
          <w:lang w:val="en-GR"/>
        </w:rPr>
        <w:t xml:space="preserve"> </w:t>
      </w:r>
    </w:p>
    <w:p w14:paraId="279EC09F" w14:textId="77777777" w:rsidR="00B54325" w:rsidRPr="00B54325" w:rsidRDefault="00B54325" w:rsidP="00B54325">
      <w:pPr>
        <w:rPr>
          <w:lang w:val="en-GR"/>
        </w:rPr>
      </w:pPr>
      <w:r w:rsidRPr="00B54325">
        <w:rPr>
          <w:b/>
          <w:bCs/>
          <w:vertAlign w:val="superscript"/>
          <w:lang w:val="en-US"/>
        </w:rPr>
        <w:t xml:space="preserve">2 </w:t>
      </w:r>
      <w:r w:rsidRPr="00B54325">
        <w:rPr>
          <w:lang w:val="en-US"/>
        </w:rPr>
        <w:t>Department of Social Medicine, Psychiatry and Neurology, Medical School, National and Kapodistrian University of Athens, Greece.</w:t>
      </w:r>
    </w:p>
    <w:p w14:paraId="36EC28B8" w14:textId="76C632EB" w:rsidR="00A03848" w:rsidRDefault="00BB5435"/>
    <w:p w14:paraId="5CAAB404" w14:textId="77777777" w:rsidR="00B54325" w:rsidRPr="00B54325" w:rsidRDefault="00B54325" w:rsidP="00B54325">
      <w:pPr>
        <w:rPr>
          <w:lang w:val="en-GR"/>
        </w:rPr>
      </w:pPr>
      <w:r w:rsidRPr="00B54325">
        <w:rPr>
          <w:lang w:val="en-US"/>
        </w:rPr>
        <w:t xml:space="preserve">ABSTRACT </w:t>
      </w:r>
    </w:p>
    <w:p w14:paraId="2C9C5BF5" w14:textId="04A196C8" w:rsidR="00B54325" w:rsidRDefault="00B54325"/>
    <w:p w14:paraId="258F32A9" w14:textId="77777777" w:rsidR="00B54325" w:rsidRPr="00B54325" w:rsidRDefault="00B54325" w:rsidP="00B54325">
      <w:pPr>
        <w:rPr>
          <w:lang w:val="en-GR"/>
        </w:rPr>
      </w:pPr>
      <w:r w:rsidRPr="00B54325">
        <w:rPr>
          <w:lang w:val="en-GB"/>
        </w:rPr>
        <w:t>Media coverage of mass traumatic events (</w:t>
      </w:r>
      <w:proofErr w:type="gramStart"/>
      <w:r w:rsidRPr="00B54325">
        <w:rPr>
          <w:lang w:val="en-GB"/>
        </w:rPr>
        <w:t>e.g.</w:t>
      </w:r>
      <w:proofErr w:type="gramEnd"/>
      <w:r w:rsidRPr="00B54325">
        <w:rPr>
          <w:lang w:val="en-GB"/>
        </w:rPr>
        <w:t xml:space="preserve"> natural disasters, terrorist attacks etc.) is today, frequent in both traditional and new-age media. Media </w:t>
      </w:r>
      <w:proofErr w:type="gramStart"/>
      <w:r w:rsidRPr="00B54325">
        <w:rPr>
          <w:lang w:val="en-GB"/>
        </w:rPr>
        <w:t>exposure</w:t>
      </w:r>
      <w:proofErr w:type="gramEnd"/>
      <w:r w:rsidRPr="00B54325">
        <w:rPr>
          <w:lang w:val="en-GB"/>
        </w:rPr>
        <w:t xml:space="preserve"> however, is left out of the diagnostic criteria of secondary trauma in the DSM V. This study examined secondary traumatization in a sample of Turkish adults, with the aim of showing how traumatic events, witnessed via the media can equally lead to significant post-traumatic stress to those directly witnessed.  Turkish participants (N=122) were asked to complete a demographic questionnaire containing their trauma histories, the PTSD Checklist-5 (PCL-5), and the Impact of Events Scale Revised (IES-R) for each of the traumatic events they were directly and indirectly exposed to. Overall, post-traumatic stress levels were higher than the PTSD symptom threshold, as expected with this sample. Participants rated traumatic events they were exposed to through the media as significantly higher in symptom severity than those they were directly exposed to, on all three PTSD subscales (re-experiencing, avoidance, and hyperarousal). The only variable acting as a significant predictor for PCL-5 scores was, perceived intrusions symptom severity in media trauma. Multiple media exposure (more than one separate event), employment status, gender, socio-economic level, or education did not yield any predictive relationship with post-traumatic stress symptom severity. </w:t>
      </w:r>
    </w:p>
    <w:p w14:paraId="01973E83" w14:textId="77777777" w:rsidR="00B54325" w:rsidRPr="00B54325" w:rsidRDefault="00B54325" w:rsidP="00B54325">
      <w:pPr>
        <w:rPr>
          <w:lang w:val="en-GR"/>
        </w:rPr>
      </w:pPr>
      <w:r w:rsidRPr="00B54325">
        <w:rPr>
          <w:lang w:val="en-GB"/>
        </w:rPr>
        <w:t>Conclusion/Discussion: This study contributes to emerging literature, supporting the inclusion of media exposure as a diagnostic criterion for future versions of the DSM by offering further evidence that traumatic events witnessed via the media, induce post-traumatic stress symptoms.</w:t>
      </w:r>
    </w:p>
    <w:p w14:paraId="46222D94" w14:textId="105D785D" w:rsidR="00B54325" w:rsidRDefault="00B54325"/>
    <w:p w14:paraId="5263DA31" w14:textId="77777777" w:rsidR="00B54325" w:rsidRPr="00B54325" w:rsidRDefault="00B54325" w:rsidP="00B54325">
      <w:pPr>
        <w:rPr>
          <w:lang w:val="en-GR"/>
        </w:rPr>
      </w:pPr>
      <w:r w:rsidRPr="00B54325">
        <w:rPr>
          <w:u w:val="single"/>
          <w:lang w:val="en-US"/>
        </w:rPr>
        <w:t xml:space="preserve">INTRODUCTION </w:t>
      </w:r>
    </w:p>
    <w:p w14:paraId="6CDF4719" w14:textId="0110659F" w:rsidR="00B54325" w:rsidRDefault="00B54325"/>
    <w:p w14:paraId="3F771F1E" w14:textId="4CE7177E" w:rsidR="00B54325" w:rsidRPr="00B54325" w:rsidRDefault="00B54325" w:rsidP="00B54325">
      <w:pPr>
        <w:rPr>
          <w:lang w:val="en-GR"/>
        </w:rPr>
      </w:pPr>
      <w:r w:rsidRPr="00B54325">
        <w:rPr>
          <w:lang w:val="en-GB"/>
        </w:rPr>
        <w:t xml:space="preserve">Exposure to lifelong traumatic events, such </w:t>
      </w:r>
      <w:proofErr w:type="gramStart"/>
      <w:r w:rsidRPr="00B54325">
        <w:rPr>
          <w:lang w:val="en-GB"/>
        </w:rPr>
        <w:t>as;</w:t>
      </w:r>
      <w:proofErr w:type="gramEnd"/>
      <w:r w:rsidRPr="00B54325">
        <w:rPr>
          <w:lang w:val="en-GB"/>
        </w:rPr>
        <w:t xml:space="preserve"> serious accidents, natural disasters, sexual and non-sexual assault, combat, abuse, bereavement, life-threatening illnesses are known to cause </w:t>
      </w:r>
      <w:r w:rsidRPr="00B54325">
        <w:rPr>
          <w:b/>
          <w:bCs/>
          <w:lang w:val="en-GB"/>
        </w:rPr>
        <w:t>Post-traumatic stress</w:t>
      </w:r>
      <w:r w:rsidRPr="00B54325">
        <w:rPr>
          <w:lang w:val="en-GB"/>
        </w:rPr>
        <w:t xml:space="preserve">. (APA, 2013; </w:t>
      </w:r>
      <w:proofErr w:type="spellStart"/>
      <w:r w:rsidRPr="00B54325">
        <w:rPr>
          <w:lang w:val="en-GB"/>
        </w:rPr>
        <w:t>Lukaschek</w:t>
      </w:r>
      <w:proofErr w:type="spellEnd"/>
      <w:r w:rsidRPr="00B54325">
        <w:rPr>
          <w:lang w:val="en-GB"/>
        </w:rPr>
        <w:t xml:space="preserve"> et al., 2013). Many studies indicate that the magnitude of the trauma, </w:t>
      </w:r>
      <w:proofErr w:type="gramStart"/>
      <w:r w:rsidRPr="00B54325">
        <w:rPr>
          <w:lang w:val="en-GB"/>
        </w:rPr>
        <w:t>i.e.</w:t>
      </w:r>
      <w:proofErr w:type="gramEnd"/>
      <w:r w:rsidRPr="00B54325">
        <w:rPr>
          <w:lang w:val="en-GB"/>
        </w:rPr>
        <w:t xml:space="preserve"> the degree of exposure, strongly predict the severity of the above PTS (Bal, 2008; </w:t>
      </w:r>
      <w:proofErr w:type="spellStart"/>
      <w:r w:rsidRPr="00B54325">
        <w:rPr>
          <w:lang w:val="en-GB"/>
        </w:rPr>
        <w:t>Lukaschek</w:t>
      </w:r>
      <w:proofErr w:type="spellEnd"/>
      <w:r w:rsidRPr="00B54325">
        <w:rPr>
          <w:lang w:val="en-GB"/>
        </w:rPr>
        <w:t xml:space="preserve"> et al., 2013). Diagnostic Statistics of Manual of Psychological Disorders V (DSMV, APA, 2013) included new criteria: indirect exposure, by learning that someone the person knows was exposed to trauma (criterion A3). Although indirect (secondary) exposure in PTSD diagnosis improved the practitioner's ability to diagnose and treat post-traumatic stress, there is further evidence for broader Criterion A4, including the exposure from tv and social media. Media induced mass trauma has been studied extensively, especially after the 9/11 terrorist attacks. (Ahern et al., 2004; </w:t>
      </w:r>
      <w:proofErr w:type="spellStart"/>
      <w:r w:rsidRPr="00B54325">
        <w:rPr>
          <w:lang w:val="en-GB"/>
        </w:rPr>
        <w:t>Deroma</w:t>
      </w:r>
      <w:proofErr w:type="spellEnd"/>
      <w:r w:rsidRPr="00B54325">
        <w:rPr>
          <w:lang w:val="en-GB"/>
        </w:rPr>
        <w:t xml:space="preserve"> et al., 2003; </w:t>
      </w:r>
      <w:proofErr w:type="spellStart"/>
      <w:r w:rsidRPr="00B54325">
        <w:rPr>
          <w:lang w:val="en-GB"/>
        </w:rPr>
        <w:t>Pfefferbaum</w:t>
      </w:r>
      <w:proofErr w:type="spellEnd"/>
      <w:r w:rsidRPr="00B54325">
        <w:rPr>
          <w:lang w:val="en-GB"/>
        </w:rPr>
        <w:t xml:space="preserve"> et al., 2019; Saylor et al., 2003). However, a Turkish sample was never studied so far, despite the multiple mass traumatic events such as military coup attempt, terrorist bombings, massive protests, surging violence instances. This study </w:t>
      </w:r>
      <w:r w:rsidRPr="00B54325">
        <w:rPr>
          <w:lang w:val="en-GB"/>
        </w:rPr>
        <w:lastRenderedPageBreak/>
        <w:t>investigates the impact of mass traumatic events exposed via media and social media outlets.</w:t>
      </w:r>
    </w:p>
    <w:p w14:paraId="6D173F81" w14:textId="42A05ACA" w:rsidR="00B54325" w:rsidRDefault="00B54325"/>
    <w:p w14:paraId="506316BA" w14:textId="77777777" w:rsidR="00B54325" w:rsidRPr="00B54325" w:rsidRDefault="00B54325" w:rsidP="00B54325">
      <w:pPr>
        <w:rPr>
          <w:lang w:val="en-GR"/>
        </w:rPr>
      </w:pPr>
      <w:r w:rsidRPr="00B54325">
        <w:rPr>
          <w:u w:val="single"/>
          <w:lang w:val="en-US"/>
        </w:rPr>
        <w:t>METHODS</w:t>
      </w:r>
    </w:p>
    <w:p w14:paraId="1CC7CF47" w14:textId="346D9D0C" w:rsidR="00B54325" w:rsidRDefault="00B54325"/>
    <w:p w14:paraId="5A1E7017" w14:textId="77777777" w:rsidR="00B54325" w:rsidRPr="00B54325" w:rsidRDefault="00B54325" w:rsidP="00B54325">
      <w:pPr>
        <w:numPr>
          <w:ilvl w:val="0"/>
          <w:numId w:val="1"/>
        </w:numPr>
        <w:rPr>
          <w:lang w:val="en-GR"/>
        </w:rPr>
      </w:pPr>
      <w:r w:rsidRPr="00B54325">
        <w:rPr>
          <w:lang w:val="en-US"/>
        </w:rPr>
        <w:t>Turkish speaking adults (N=122) recruited from Social Media Outlets, such as Facebook and Twitter. The sample consisted mainly of educated, internet users who consume social media content and news media.</w:t>
      </w:r>
    </w:p>
    <w:p w14:paraId="5CBEF5C0" w14:textId="77777777" w:rsidR="00B54325" w:rsidRPr="00B54325" w:rsidRDefault="00B54325" w:rsidP="00B54325">
      <w:pPr>
        <w:numPr>
          <w:ilvl w:val="0"/>
          <w:numId w:val="1"/>
        </w:numPr>
        <w:rPr>
          <w:lang w:val="en-GR"/>
        </w:rPr>
      </w:pPr>
      <w:r w:rsidRPr="00B54325">
        <w:rPr>
          <w:lang w:val="en-US"/>
        </w:rPr>
        <w:t>Participants without a media trauma history were excluded.</w:t>
      </w:r>
    </w:p>
    <w:p w14:paraId="24E6B26D" w14:textId="77777777" w:rsidR="00B54325" w:rsidRPr="00B54325" w:rsidRDefault="00B54325" w:rsidP="00B54325">
      <w:pPr>
        <w:numPr>
          <w:ilvl w:val="0"/>
          <w:numId w:val="1"/>
        </w:numPr>
        <w:rPr>
          <w:lang w:val="en-GR"/>
        </w:rPr>
      </w:pPr>
      <w:r w:rsidRPr="00B54325">
        <w:rPr>
          <w:lang w:val="en-US"/>
        </w:rPr>
        <w:t>Participants were asked to complete a demographic questionnaire containing their trauma histories, the PTSD Checklist-5 (PCL-5), and the Impact of Events Scale-Revised (IES-R) for each of the traumatic events they were directly and indirectly exposed.</w:t>
      </w:r>
    </w:p>
    <w:p w14:paraId="4157B3BF" w14:textId="77777777" w:rsidR="00B54325" w:rsidRPr="00B54325" w:rsidRDefault="00B54325" w:rsidP="00B54325">
      <w:pPr>
        <w:numPr>
          <w:ilvl w:val="0"/>
          <w:numId w:val="1"/>
        </w:numPr>
        <w:rPr>
          <w:lang w:val="en-GR"/>
        </w:rPr>
      </w:pPr>
      <w:r w:rsidRPr="00B54325">
        <w:rPr>
          <w:lang w:val="en-US"/>
        </w:rPr>
        <w:t>A multiple Regression was calculated with PCL-5 total score as the dependent variable.</w:t>
      </w:r>
    </w:p>
    <w:p w14:paraId="5C979069" w14:textId="77777777" w:rsidR="00B54325" w:rsidRPr="00B54325" w:rsidRDefault="00B54325" w:rsidP="00B54325">
      <w:pPr>
        <w:numPr>
          <w:ilvl w:val="0"/>
          <w:numId w:val="1"/>
        </w:numPr>
        <w:rPr>
          <w:lang w:val="en-GR"/>
        </w:rPr>
      </w:pPr>
      <w:r w:rsidRPr="00B54325">
        <w:rPr>
          <w:lang w:val="en-US"/>
        </w:rPr>
        <w:t>Participants were provided with Information Sheet and Consent Form; Study followed BPS Code of Conduct provided by University of Bolton’s approval.</w:t>
      </w:r>
    </w:p>
    <w:p w14:paraId="4BADCA40" w14:textId="77777777" w:rsidR="00B54325" w:rsidRDefault="00B54325" w:rsidP="00B54325">
      <w:pPr>
        <w:rPr>
          <w:lang w:val="en-GR"/>
        </w:rPr>
      </w:pPr>
    </w:p>
    <w:p w14:paraId="356E1028" w14:textId="01D7B7AB" w:rsidR="00B54325" w:rsidRPr="00B54325" w:rsidRDefault="00B54325" w:rsidP="00B54325">
      <w:pPr>
        <w:rPr>
          <w:lang w:val="en-GR"/>
        </w:rPr>
      </w:pPr>
      <w:r w:rsidRPr="00B54325">
        <w:rPr>
          <w:u w:val="single"/>
          <w:lang w:val="en-GR"/>
        </w:rPr>
        <w:t>RESULTS</w:t>
      </w:r>
    </w:p>
    <w:p w14:paraId="6C2EB75D" w14:textId="6534DCC1" w:rsidR="00B54325" w:rsidRDefault="00B54325"/>
    <w:p w14:paraId="2607C1A0" w14:textId="77777777" w:rsidR="00BB5435" w:rsidRPr="009F1304" w:rsidRDefault="00BB5435" w:rsidP="00BB5435">
      <w:pPr>
        <w:pStyle w:val="Caption"/>
        <w:keepNext/>
        <w:rPr>
          <w:rFonts w:cs="Arial"/>
          <w:i/>
          <w:iCs w:val="0"/>
        </w:rPr>
      </w:pPr>
      <w:bookmarkStart w:id="0" w:name="_Toc35831498"/>
      <w:r w:rsidRPr="009F1304">
        <w:rPr>
          <w:rFonts w:cs="Arial"/>
          <w:i/>
          <w:iCs w:val="0"/>
        </w:rPr>
        <w:t xml:space="preserve">Table </w:t>
      </w:r>
      <w:r w:rsidRPr="009F1304">
        <w:rPr>
          <w:rFonts w:cs="Arial"/>
          <w:i/>
          <w:iCs w:val="0"/>
        </w:rPr>
        <w:fldChar w:fldCharType="begin"/>
      </w:r>
      <w:r w:rsidRPr="009F1304">
        <w:rPr>
          <w:rFonts w:cs="Arial"/>
          <w:i/>
          <w:iCs w:val="0"/>
        </w:rPr>
        <w:instrText xml:space="preserve"> SEQ Table \* ARABIC </w:instrText>
      </w:r>
      <w:r w:rsidRPr="009F1304">
        <w:rPr>
          <w:rFonts w:cs="Arial"/>
          <w:i/>
          <w:iCs w:val="0"/>
        </w:rPr>
        <w:fldChar w:fldCharType="separate"/>
      </w:r>
      <w:r>
        <w:rPr>
          <w:rFonts w:cs="Arial"/>
          <w:i/>
          <w:iCs w:val="0"/>
          <w:noProof/>
        </w:rPr>
        <w:t>4</w:t>
      </w:r>
      <w:r w:rsidRPr="009F1304">
        <w:rPr>
          <w:rFonts w:cs="Arial"/>
          <w:i/>
          <w:iCs w:val="0"/>
        </w:rPr>
        <w:fldChar w:fldCharType="end"/>
      </w:r>
      <w:r w:rsidRPr="009F1304">
        <w:rPr>
          <w:rFonts w:cs="Arial"/>
          <w:i/>
          <w:iCs w:val="0"/>
        </w:rPr>
        <w:t>: Correlations Among Variables</w:t>
      </w:r>
      <w:bookmarkEnd w:id="0"/>
    </w:p>
    <w:tbl>
      <w:tblPr>
        <w:tblStyle w:val="PlainTable2"/>
        <w:tblW w:w="5000" w:type="pct"/>
        <w:tblLook w:val="04A0" w:firstRow="1" w:lastRow="0" w:firstColumn="1" w:lastColumn="0" w:noHBand="0" w:noVBand="1"/>
      </w:tblPr>
      <w:tblGrid>
        <w:gridCol w:w="417"/>
        <w:gridCol w:w="2335"/>
        <w:gridCol w:w="660"/>
        <w:gridCol w:w="660"/>
        <w:gridCol w:w="660"/>
        <w:gridCol w:w="660"/>
        <w:gridCol w:w="660"/>
        <w:gridCol w:w="660"/>
        <w:gridCol w:w="710"/>
        <w:gridCol w:w="660"/>
        <w:gridCol w:w="527"/>
        <w:gridCol w:w="417"/>
      </w:tblGrid>
      <w:tr w:rsidR="00BB5435" w:rsidRPr="00ED4362" w14:paraId="29B35049" w14:textId="77777777" w:rsidTr="0045431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129BDB50"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w:t>
            </w:r>
          </w:p>
        </w:tc>
        <w:tc>
          <w:tcPr>
            <w:tcW w:w="1409" w:type="pct"/>
            <w:hideMark/>
          </w:tcPr>
          <w:p w14:paraId="00394AC8"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w:t>
            </w:r>
          </w:p>
        </w:tc>
        <w:tc>
          <w:tcPr>
            <w:tcW w:w="355" w:type="pct"/>
            <w:hideMark/>
          </w:tcPr>
          <w:p w14:paraId="30F68F68"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64A60"/>
                <w:sz w:val="18"/>
                <w:szCs w:val="18"/>
                <w:lang w:eastAsia="en-GB"/>
              </w:rPr>
            </w:pPr>
            <w:r w:rsidRPr="00ED4362">
              <w:rPr>
                <w:rFonts w:ascii="Arial" w:eastAsia="Times New Roman" w:hAnsi="Arial" w:cs="Arial"/>
                <w:color w:val="264A60"/>
                <w:sz w:val="18"/>
                <w:szCs w:val="18"/>
                <w:lang w:eastAsia="en-GB"/>
              </w:rPr>
              <w:t>1</w:t>
            </w:r>
          </w:p>
        </w:tc>
        <w:tc>
          <w:tcPr>
            <w:tcW w:w="385" w:type="pct"/>
            <w:hideMark/>
          </w:tcPr>
          <w:p w14:paraId="7DE85DD3"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64A60"/>
                <w:sz w:val="18"/>
                <w:szCs w:val="18"/>
                <w:lang w:eastAsia="en-GB"/>
              </w:rPr>
            </w:pPr>
            <w:r w:rsidRPr="00ED4362">
              <w:rPr>
                <w:rFonts w:ascii="Arial" w:eastAsia="Times New Roman" w:hAnsi="Arial" w:cs="Arial"/>
                <w:color w:val="264A60"/>
                <w:sz w:val="18"/>
                <w:szCs w:val="18"/>
                <w:lang w:eastAsia="en-GB"/>
              </w:rPr>
              <w:t>2</w:t>
            </w:r>
          </w:p>
        </w:tc>
        <w:tc>
          <w:tcPr>
            <w:tcW w:w="355" w:type="pct"/>
            <w:hideMark/>
          </w:tcPr>
          <w:p w14:paraId="56645618"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64A60"/>
                <w:sz w:val="18"/>
                <w:szCs w:val="18"/>
                <w:lang w:eastAsia="en-GB"/>
              </w:rPr>
            </w:pPr>
            <w:r w:rsidRPr="00ED4362">
              <w:rPr>
                <w:rFonts w:ascii="Arial" w:eastAsia="Times New Roman" w:hAnsi="Arial" w:cs="Arial"/>
                <w:color w:val="264A60"/>
                <w:sz w:val="18"/>
                <w:szCs w:val="18"/>
                <w:lang w:eastAsia="en-GB"/>
              </w:rPr>
              <w:t>3</w:t>
            </w:r>
          </w:p>
        </w:tc>
        <w:tc>
          <w:tcPr>
            <w:tcW w:w="355" w:type="pct"/>
            <w:hideMark/>
          </w:tcPr>
          <w:p w14:paraId="6247CD07"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64A60"/>
                <w:sz w:val="18"/>
                <w:szCs w:val="18"/>
                <w:lang w:eastAsia="en-GB"/>
              </w:rPr>
            </w:pPr>
            <w:r w:rsidRPr="00ED4362">
              <w:rPr>
                <w:rFonts w:ascii="Arial" w:eastAsia="Times New Roman" w:hAnsi="Arial" w:cs="Arial"/>
                <w:color w:val="264A60"/>
                <w:sz w:val="18"/>
                <w:szCs w:val="18"/>
                <w:lang w:eastAsia="en-GB"/>
              </w:rPr>
              <w:t>4</w:t>
            </w:r>
          </w:p>
        </w:tc>
        <w:tc>
          <w:tcPr>
            <w:tcW w:w="355" w:type="pct"/>
            <w:hideMark/>
          </w:tcPr>
          <w:p w14:paraId="77917E79"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64A60"/>
                <w:sz w:val="18"/>
                <w:szCs w:val="18"/>
                <w:lang w:eastAsia="en-GB"/>
              </w:rPr>
            </w:pPr>
            <w:r w:rsidRPr="00ED4362">
              <w:rPr>
                <w:rFonts w:ascii="Arial" w:eastAsia="Times New Roman" w:hAnsi="Arial" w:cs="Arial"/>
                <w:color w:val="264A60"/>
                <w:sz w:val="18"/>
                <w:szCs w:val="18"/>
                <w:lang w:eastAsia="en-GB"/>
              </w:rPr>
              <w:t>5</w:t>
            </w:r>
          </w:p>
        </w:tc>
        <w:tc>
          <w:tcPr>
            <w:tcW w:w="355" w:type="pct"/>
            <w:hideMark/>
          </w:tcPr>
          <w:p w14:paraId="23ADEE9B"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64A60"/>
                <w:sz w:val="18"/>
                <w:szCs w:val="18"/>
                <w:lang w:eastAsia="en-GB"/>
              </w:rPr>
            </w:pPr>
            <w:r w:rsidRPr="00ED4362">
              <w:rPr>
                <w:rFonts w:ascii="Arial" w:eastAsia="Times New Roman" w:hAnsi="Arial" w:cs="Arial"/>
                <w:color w:val="264A60"/>
                <w:sz w:val="18"/>
                <w:szCs w:val="18"/>
                <w:lang w:eastAsia="en-GB"/>
              </w:rPr>
              <w:t>6</w:t>
            </w:r>
          </w:p>
        </w:tc>
        <w:tc>
          <w:tcPr>
            <w:tcW w:w="358" w:type="pct"/>
            <w:hideMark/>
          </w:tcPr>
          <w:p w14:paraId="62A77384"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64A60"/>
                <w:sz w:val="18"/>
                <w:szCs w:val="18"/>
                <w:lang w:eastAsia="en-GB"/>
              </w:rPr>
            </w:pPr>
            <w:r w:rsidRPr="00ED4362">
              <w:rPr>
                <w:rFonts w:ascii="Arial" w:eastAsia="Times New Roman" w:hAnsi="Arial" w:cs="Arial"/>
                <w:color w:val="264A60"/>
                <w:sz w:val="18"/>
                <w:szCs w:val="18"/>
                <w:lang w:eastAsia="en-GB"/>
              </w:rPr>
              <w:t>7</w:t>
            </w:r>
          </w:p>
        </w:tc>
        <w:tc>
          <w:tcPr>
            <w:tcW w:w="355" w:type="pct"/>
            <w:hideMark/>
          </w:tcPr>
          <w:p w14:paraId="4D078C88"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64A60"/>
                <w:sz w:val="18"/>
                <w:szCs w:val="18"/>
                <w:lang w:eastAsia="en-GB"/>
              </w:rPr>
            </w:pPr>
            <w:r w:rsidRPr="00ED4362">
              <w:rPr>
                <w:rFonts w:ascii="Arial" w:eastAsia="Times New Roman" w:hAnsi="Arial" w:cs="Arial"/>
                <w:color w:val="264A60"/>
                <w:sz w:val="18"/>
                <w:szCs w:val="18"/>
                <w:lang w:eastAsia="en-GB"/>
              </w:rPr>
              <w:t>8</w:t>
            </w:r>
          </w:p>
        </w:tc>
        <w:tc>
          <w:tcPr>
            <w:tcW w:w="278" w:type="pct"/>
            <w:hideMark/>
          </w:tcPr>
          <w:p w14:paraId="35A727BB"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64A60"/>
                <w:sz w:val="18"/>
                <w:szCs w:val="18"/>
                <w:lang w:eastAsia="en-GB"/>
              </w:rPr>
            </w:pPr>
            <w:r w:rsidRPr="00ED4362">
              <w:rPr>
                <w:rFonts w:ascii="Arial" w:eastAsia="Times New Roman" w:hAnsi="Arial" w:cs="Arial"/>
                <w:color w:val="264A60"/>
                <w:sz w:val="18"/>
                <w:szCs w:val="18"/>
                <w:lang w:eastAsia="en-GB"/>
              </w:rPr>
              <w:t>9</w:t>
            </w:r>
          </w:p>
        </w:tc>
        <w:tc>
          <w:tcPr>
            <w:tcW w:w="220" w:type="pct"/>
            <w:hideMark/>
          </w:tcPr>
          <w:p w14:paraId="68AC011B" w14:textId="77777777" w:rsidR="00BB5435" w:rsidRPr="00ED4362" w:rsidRDefault="00BB5435" w:rsidP="004543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64A60"/>
                <w:sz w:val="18"/>
                <w:szCs w:val="18"/>
                <w:lang w:eastAsia="en-GB"/>
              </w:rPr>
            </w:pPr>
            <w:r w:rsidRPr="00ED4362">
              <w:rPr>
                <w:rFonts w:ascii="Arial" w:eastAsia="Times New Roman" w:hAnsi="Arial" w:cs="Arial"/>
                <w:color w:val="264A60"/>
                <w:sz w:val="18"/>
                <w:szCs w:val="18"/>
                <w:lang w:eastAsia="en-GB"/>
              </w:rPr>
              <w:t>10</w:t>
            </w:r>
          </w:p>
        </w:tc>
      </w:tr>
      <w:tr w:rsidR="00BB5435" w:rsidRPr="00ED4362" w14:paraId="10D8A0EF" w14:textId="77777777" w:rsidTr="004543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5F1BD470"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w:t>
            </w:r>
          </w:p>
        </w:tc>
        <w:tc>
          <w:tcPr>
            <w:tcW w:w="1409" w:type="pct"/>
            <w:hideMark/>
          </w:tcPr>
          <w:p w14:paraId="49B1B74F" w14:textId="77777777" w:rsidR="00BB5435" w:rsidRPr="00ED4362" w:rsidRDefault="00BB5435" w:rsidP="004543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n-GB"/>
              </w:rPr>
            </w:pPr>
            <w:r w:rsidRPr="00ED4362">
              <w:rPr>
                <w:rFonts w:ascii="Arial" w:eastAsia="Times New Roman" w:hAnsi="Arial" w:cs="Arial"/>
                <w:b/>
                <w:bCs/>
                <w:color w:val="000000"/>
                <w:sz w:val="18"/>
                <w:szCs w:val="18"/>
                <w:lang w:eastAsia="en-GB"/>
              </w:rPr>
              <w:t xml:space="preserve">PCL-5 Total </w:t>
            </w:r>
            <w:proofErr w:type="spellStart"/>
            <w:r w:rsidRPr="00ED4362">
              <w:rPr>
                <w:rFonts w:ascii="Arial" w:eastAsia="Times New Roman" w:hAnsi="Arial" w:cs="Arial"/>
                <w:b/>
                <w:bCs/>
                <w:color w:val="000000"/>
                <w:sz w:val="18"/>
                <w:szCs w:val="18"/>
                <w:lang w:eastAsia="en-GB"/>
              </w:rPr>
              <w:t>Score</w:t>
            </w:r>
            <w:proofErr w:type="spellEnd"/>
          </w:p>
        </w:tc>
        <w:tc>
          <w:tcPr>
            <w:tcW w:w="355" w:type="pct"/>
            <w:noWrap/>
            <w:hideMark/>
          </w:tcPr>
          <w:p w14:paraId="41D23DBF"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85" w:type="pct"/>
            <w:noWrap/>
            <w:hideMark/>
          </w:tcPr>
          <w:p w14:paraId="39979F61"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08CA21A9"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4D7A0691"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5D5ACF07"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7FC51E06"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8" w:type="pct"/>
            <w:noWrap/>
            <w:hideMark/>
          </w:tcPr>
          <w:p w14:paraId="481DCE41"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3A7E7A0A"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78" w:type="pct"/>
            <w:noWrap/>
            <w:hideMark/>
          </w:tcPr>
          <w:p w14:paraId="211CB717"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20" w:type="pct"/>
            <w:noWrap/>
            <w:hideMark/>
          </w:tcPr>
          <w:p w14:paraId="65A89E95"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r>
      <w:tr w:rsidR="00BB5435" w:rsidRPr="00ED4362" w14:paraId="07EB2FC6" w14:textId="77777777" w:rsidTr="00454318">
        <w:trPr>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61A2AC64"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2</w:t>
            </w:r>
          </w:p>
        </w:tc>
        <w:tc>
          <w:tcPr>
            <w:tcW w:w="1409" w:type="pct"/>
            <w:hideMark/>
          </w:tcPr>
          <w:p w14:paraId="38BC61AE"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n-GB"/>
              </w:rPr>
            </w:pPr>
            <w:r w:rsidRPr="00ED4362">
              <w:rPr>
                <w:rFonts w:ascii="Arial" w:eastAsia="Times New Roman" w:hAnsi="Arial" w:cs="Arial"/>
                <w:b/>
                <w:bCs/>
                <w:color w:val="000000"/>
                <w:sz w:val="18"/>
                <w:szCs w:val="18"/>
                <w:lang w:eastAsia="en-GB"/>
              </w:rPr>
              <w:t xml:space="preserve">Media IESR </w:t>
            </w:r>
            <w:proofErr w:type="spellStart"/>
            <w:r w:rsidRPr="00ED4362">
              <w:rPr>
                <w:rFonts w:ascii="Arial" w:eastAsia="Times New Roman" w:hAnsi="Arial" w:cs="Arial"/>
                <w:b/>
                <w:bCs/>
                <w:color w:val="000000"/>
                <w:sz w:val="18"/>
                <w:szCs w:val="18"/>
                <w:lang w:eastAsia="en-GB"/>
              </w:rPr>
              <w:t>Intrusion</w:t>
            </w:r>
            <w:proofErr w:type="spellEnd"/>
          </w:p>
        </w:tc>
        <w:tc>
          <w:tcPr>
            <w:tcW w:w="355" w:type="pct"/>
            <w:noWrap/>
            <w:hideMark/>
          </w:tcPr>
          <w:p w14:paraId="2DFC1286"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.411</w:t>
            </w:r>
            <w:r w:rsidRPr="00ED4362">
              <w:rPr>
                <w:rFonts w:ascii="Arial" w:eastAsia="Times New Roman" w:hAnsi="Arial" w:cs="Arial"/>
                <w:color w:val="000000"/>
                <w:sz w:val="18"/>
                <w:szCs w:val="18"/>
                <w:vertAlign w:val="superscript"/>
                <w:lang w:eastAsia="en-GB"/>
              </w:rPr>
              <w:t>**</w:t>
            </w:r>
          </w:p>
        </w:tc>
        <w:tc>
          <w:tcPr>
            <w:tcW w:w="385" w:type="pct"/>
            <w:noWrap/>
            <w:hideMark/>
          </w:tcPr>
          <w:p w14:paraId="3A5F6F01"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7A324869"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7610D62F"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7EF5B498"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331E1E3C"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8" w:type="pct"/>
            <w:noWrap/>
            <w:hideMark/>
          </w:tcPr>
          <w:p w14:paraId="257AB6BF"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6FC173C8"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78" w:type="pct"/>
            <w:noWrap/>
            <w:hideMark/>
          </w:tcPr>
          <w:p w14:paraId="6B83BAE9"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20" w:type="pct"/>
            <w:noWrap/>
            <w:hideMark/>
          </w:tcPr>
          <w:p w14:paraId="37A67534"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r>
      <w:tr w:rsidR="00BB5435" w:rsidRPr="00ED4362" w14:paraId="3813C0AA" w14:textId="77777777" w:rsidTr="004543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64947746"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3</w:t>
            </w:r>
          </w:p>
        </w:tc>
        <w:tc>
          <w:tcPr>
            <w:tcW w:w="1409" w:type="pct"/>
            <w:hideMark/>
          </w:tcPr>
          <w:p w14:paraId="2EB0A90C" w14:textId="77777777" w:rsidR="00BB5435" w:rsidRPr="00ED4362" w:rsidRDefault="00BB5435" w:rsidP="004543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n-GB"/>
              </w:rPr>
            </w:pPr>
            <w:r w:rsidRPr="00ED4362">
              <w:rPr>
                <w:rFonts w:ascii="Arial" w:eastAsia="Times New Roman" w:hAnsi="Arial" w:cs="Arial"/>
                <w:b/>
                <w:bCs/>
                <w:color w:val="000000"/>
                <w:sz w:val="18"/>
                <w:szCs w:val="18"/>
                <w:lang w:eastAsia="en-GB"/>
              </w:rPr>
              <w:t xml:space="preserve">Media IESR </w:t>
            </w:r>
            <w:proofErr w:type="spellStart"/>
            <w:r w:rsidRPr="00ED4362">
              <w:rPr>
                <w:rFonts w:ascii="Arial" w:eastAsia="Times New Roman" w:hAnsi="Arial" w:cs="Arial"/>
                <w:b/>
                <w:bCs/>
                <w:color w:val="000000"/>
                <w:sz w:val="18"/>
                <w:szCs w:val="18"/>
                <w:lang w:eastAsia="en-GB"/>
              </w:rPr>
              <w:t>Avoidance</w:t>
            </w:r>
            <w:proofErr w:type="spellEnd"/>
          </w:p>
        </w:tc>
        <w:tc>
          <w:tcPr>
            <w:tcW w:w="355" w:type="pct"/>
            <w:noWrap/>
            <w:hideMark/>
          </w:tcPr>
          <w:p w14:paraId="4A520B6C"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.301</w:t>
            </w:r>
            <w:r w:rsidRPr="00ED4362">
              <w:rPr>
                <w:rFonts w:ascii="Arial" w:eastAsia="Times New Roman" w:hAnsi="Arial" w:cs="Arial"/>
                <w:color w:val="000000"/>
                <w:sz w:val="18"/>
                <w:szCs w:val="18"/>
                <w:vertAlign w:val="superscript"/>
                <w:lang w:eastAsia="en-GB"/>
              </w:rPr>
              <w:t>**</w:t>
            </w:r>
          </w:p>
        </w:tc>
        <w:tc>
          <w:tcPr>
            <w:tcW w:w="385" w:type="pct"/>
            <w:noWrap/>
            <w:hideMark/>
          </w:tcPr>
          <w:p w14:paraId="488D14D0"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.617</w:t>
            </w:r>
            <w:r w:rsidRPr="00ED4362">
              <w:rPr>
                <w:rFonts w:ascii="Arial" w:eastAsia="Times New Roman" w:hAnsi="Arial" w:cs="Arial"/>
                <w:color w:val="010205"/>
                <w:sz w:val="18"/>
                <w:szCs w:val="18"/>
                <w:vertAlign w:val="superscript"/>
                <w:lang w:eastAsia="en-GB"/>
              </w:rPr>
              <w:t>**</w:t>
            </w:r>
          </w:p>
        </w:tc>
        <w:tc>
          <w:tcPr>
            <w:tcW w:w="355" w:type="pct"/>
            <w:noWrap/>
            <w:hideMark/>
          </w:tcPr>
          <w:p w14:paraId="67643C96"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0B753C35"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2B937E71"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54668FF0"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8" w:type="pct"/>
            <w:noWrap/>
            <w:hideMark/>
          </w:tcPr>
          <w:p w14:paraId="7DACD0B0"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69CEDC5B"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78" w:type="pct"/>
            <w:noWrap/>
            <w:hideMark/>
          </w:tcPr>
          <w:p w14:paraId="3FE888F8"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20" w:type="pct"/>
            <w:noWrap/>
            <w:hideMark/>
          </w:tcPr>
          <w:p w14:paraId="56DB59E0"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r>
      <w:tr w:rsidR="00BB5435" w:rsidRPr="00ED4362" w14:paraId="12B24325" w14:textId="77777777" w:rsidTr="00454318">
        <w:trPr>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68D30EE0"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4</w:t>
            </w:r>
          </w:p>
        </w:tc>
        <w:tc>
          <w:tcPr>
            <w:tcW w:w="1409" w:type="pct"/>
            <w:hideMark/>
          </w:tcPr>
          <w:p w14:paraId="03EE8E68"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n-GB"/>
              </w:rPr>
            </w:pPr>
            <w:r w:rsidRPr="00ED4362">
              <w:rPr>
                <w:rFonts w:ascii="Arial" w:eastAsia="Times New Roman" w:hAnsi="Arial" w:cs="Arial"/>
                <w:b/>
                <w:bCs/>
                <w:color w:val="000000"/>
                <w:sz w:val="18"/>
                <w:szCs w:val="18"/>
                <w:lang w:eastAsia="en-GB"/>
              </w:rPr>
              <w:t xml:space="preserve">Media IESR </w:t>
            </w:r>
            <w:proofErr w:type="spellStart"/>
            <w:r w:rsidRPr="00ED4362">
              <w:rPr>
                <w:rFonts w:ascii="Arial" w:eastAsia="Times New Roman" w:hAnsi="Arial" w:cs="Arial"/>
                <w:b/>
                <w:bCs/>
                <w:color w:val="000000"/>
                <w:sz w:val="18"/>
                <w:szCs w:val="18"/>
                <w:lang w:eastAsia="en-GB"/>
              </w:rPr>
              <w:t>Hyper</w:t>
            </w:r>
            <w:proofErr w:type="spellEnd"/>
            <w:r w:rsidRPr="00ED4362">
              <w:rPr>
                <w:rFonts w:ascii="Arial" w:eastAsia="Times New Roman" w:hAnsi="Arial" w:cs="Arial"/>
                <w:b/>
                <w:bCs/>
                <w:color w:val="000000"/>
                <w:sz w:val="18"/>
                <w:szCs w:val="18"/>
                <w:lang w:eastAsia="en-GB"/>
              </w:rPr>
              <w:t xml:space="preserve"> </w:t>
            </w:r>
            <w:proofErr w:type="spellStart"/>
            <w:r w:rsidRPr="00ED4362">
              <w:rPr>
                <w:rFonts w:ascii="Arial" w:eastAsia="Times New Roman" w:hAnsi="Arial" w:cs="Arial"/>
                <w:b/>
                <w:bCs/>
                <w:color w:val="000000"/>
                <w:sz w:val="18"/>
                <w:szCs w:val="18"/>
                <w:lang w:eastAsia="en-GB"/>
              </w:rPr>
              <w:t>arousal</w:t>
            </w:r>
            <w:proofErr w:type="spellEnd"/>
          </w:p>
        </w:tc>
        <w:tc>
          <w:tcPr>
            <w:tcW w:w="355" w:type="pct"/>
            <w:noWrap/>
            <w:hideMark/>
          </w:tcPr>
          <w:p w14:paraId="71D9D5E3"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.349</w:t>
            </w:r>
            <w:r w:rsidRPr="00ED4362">
              <w:rPr>
                <w:rFonts w:ascii="Arial" w:eastAsia="Times New Roman" w:hAnsi="Arial" w:cs="Arial"/>
                <w:color w:val="000000"/>
                <w:sz w:val="18"/>
                <w:szCs w:val="18"/>
                <w:vertAlign w:val="superscript"/>
                <w:lang w:eastAsia="en-GB"/>
              </w:rPr>
              <w:t>**</w:t>
            </w:r>
          </w:p>
        </w:tc>
        <w:tc>
          <w:tcPr>
            <w:tcW w:w="385" w:type="pct"/>
            <w:noWrap/>
            <w:hideMark/>
          </w:tcPr>
          <w:p w14:paraId="4CEF68D0"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.672</w:t>
            </w:r>
            <w:r w:rsidRPr="00ED4362">
              <w:rPr>
                <w:rFonts w:ascii="Arial" w:eastAsia="Times New Roman" w:hAnsi="Arial" w:cs="Arial"/>
                <w:color w:val="000000"/>
                <w:sz w:val="18"/>
                <w:szCs w:val="18"/>
                <w:vertAlign w:val="superscript"/>
                <w:lang w:eastAsia="en-GB"/>
              </w:rPr>
              <w:t>**</w:t>
            </w:r>
          </w:p>
        </w:tc>
        <w:tc>
          <w:tcPr>
            <w:tcW w:w="355" w:type="pct"/>
            <w:noWrap/>
            <w:hideMark/>
          </w:tcPr>
          <w:p w14:paraId="1794DD70"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.585</w:t>
            </w:r>
            <w:r w:rsidRPr="00ED4362">
              <w:rPr>
                <w:rFonts w:ascii="Arial" w:eastAsia="Times New Roman" w:hAnsi="Arial" w:cs="Arial"/>
                <w:color w:val="000000"/>
                <w:sz w:val="18"/>
                <w:szCs w:val="18"/>
                <w:vertAlign w:val="superscript"/>
                <w:lang w:eastAsia="en-GB"/>
              </w:rPr>
              <w:t>**</w:t>
            </w:r>
          </w:p>
        </w:tc>
        <w:tc>
          <w:tcPr>
            <w:tcW w:w="355" w:type="pct"/>
            <w:noWrap/>
            <w:hideMark/>
          </w:tcPr>
          <w:p w14:paraId="44FFDE6A"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27046259"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6E3DC200"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8" w:type="pct"/>
            <w:noWrap/>
            <w:hideMark/>
          </w:tcPr>
          <w:p w14:paraId="524879C0"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4173AF6A"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78" w:type="pct"/>
            <w:noWrap/>
            <w:hideMark/>
          </w:tcPr>
          <w:p w14:paraId="0E1D483B"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20" w:type="pct"/>
            <w:noWrap/>
            <w:hideMark/>
          </w:tcPr>
          <w:p w14:paraId="1468C74B"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r>
      <w:tr w:rsidR="00BB5435" w:rsidRPr="00ED4362" w14:paraId="48F68215" w14:textId="77777777" w:rsidTr="004543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5BC68D13"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5</w:t>
            </w:r>
          </w:p>
        </w:tc>
        <w:tc>
          <w:tcPr>
            <w:tcW w:w="1409" w:type="pct"/>
            <w:hideMark/>
          </w:tcPr>
          <w:p w14:paraId="6B1EF94D" w14:textId="77777777" w:rsidR="00BB5435" w:rsidRPr="00ED4362" w:rsidRDefault="00BB5435" w:rsidP="004543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n-GB"/>
              </w:rPr>
            </w:pPr>
            <w:r w:rsidRPr="00ED4362">
              <w:rPr>
                <w:rFonts w:ascii="Arial" w:eastAsia="Times New Roman" w:hAnsi="Arial" w:cs="Arial"/>
                <w:b/>
                <w:bCs/>
                <w:color w:val="000000"/>
                <w:sz w:val="18"/>
                <w:szCs w:val="18"/>
                <w:lang w:eastAsia="en-GB"/>
              </w:rPr>
              <w:t xml:space="preserve">Media IESR Total </w:t>
            </w:r>
            <w:proofErr w:type="spellStart"/>
            <w:r w:rsidRPr="00ED4362">
              <w:rPr>
                <w:rFonts w:ascii="Arial" w:eastAsia="Times New Roman" w:hAnsi="Arial" w:cs="Arial"/>
                <w:b/>
                <w:bCs/>
                <w:color w:val="000000"/>
                <w:sz w:val="18"/>
                <w:szCs w:val="18"/>
                <w:lang w:eastAsia="en-GB"/>
              </w:rPr>
              <w:t>Score</w:t>
            </w:r>
            <w:proofErr w:type="spellEnd"/>
          </w:p>
        </w:tc>
        <w:tc>
          <w:tcPr>
            <w:tcW w:w="355" w:type="pct"/>
            <w:noWrap/>
            <w:hideMark/>
          </w:tcPr>
          <w:p w14:paraId="1E4EF24A"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.413</w:t>
            </w:r>
            <w:r w:rsidRPr="00ED4362">
              <w:rPr>
                <w:rFonts w:ascii="Arial" w:eastAsia="Times New Roman" w:hAnsi="Arial" w:cs="Arial"/>
                <w:color w:val="000000"/>
                <w:sz w:val="18"/>
                <w:szCs w:val="18"/>
                <w:vertAlign w:val="superscript"/>
                <w:lang w:eastAsia="en-GB"/>
              </w:rPr>
              <w:t>**</w:t>
            </w:r>
          </w:p>
        </w:tc>
        <w:tc>
          <w:tcPr>
            <w:tcW w:w="385" w:type="pct"/>
            <w:noWrap/>
            <w:hideMark/>
          </w:tcPr>
          <w:p w14:paraId="55B1C956"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.907</w:t>
            </w:r>
            <w:r w:rsidRPr="00ED4362">
              <w:rPr>
                <w:rFonts w:ascii="Arial" w:eastAsia="Times New Roman" w:hAnsi="Arial" w:cs="Arial"/>
                <w:color w:val="000000"/>
                <w:sz w:val="18"/>
                <w:szCs w:val="18"/>
                <w:vertAlign w:val="superscript"/>
                <w:lang w:eastAsia="en-GB"/>
              </w:rPr>
              <w:t>**</w:t>
            </w:r>
          </w:p>
        </w:tc>
        <w:tc>
          <w:tcPr>
            <w:tcW w:w="355" w:type="pct"/>
            <w:noWrap/>
            <w:hideMark/>
          </w:tcPr>
          <w:p w14:paraId="2085DAE2"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.834</w:t>
            </w:r>
            <w:r w:rsidRPr="00ED4362">
              <w:rPr>
                <w:rFonts w:ascii="Arial" w:eastAsia="Times New Roman" w:hAnsi="Arial" w:cs="Arial"/>
                <w:color w:val="000000"/>
                <w:sz w:val="18"/>
                <w:szCs w:val="18"/>
                <w:vertAlign w:val="superscript"/>
                <w:lang w:eastAsia="en-GB"/>
              </w:rPr>
              <w:t>**</w:t>
            </w:r>
          </w:p>
        </w:tc>
        <w:tc>
          <w:tcPr>
            <w:tcW w:w="355" w:type="pct"/>
            <w:noWrap/>
            <w:hideMark/>
          </w:tcPr>
          <w:p w14:paraId="4A2AE67E"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.852</w:t>
            </w:r>
            <w:r w:rsidRPr="00ED4362">
              <w:rPr>
                <w:rFonts w:ascii="Arial" w:eastAsia="Times New Roman" w:hAnsi="Arial" w:cs="Arial"/>
                <w:color w:val="000000"/>
                <w:sz w:val="18"/>
                <w:szCs w:val="18"/>
                <w:vertAlign w:val="superscript"/>
                <w:lang w:eastAsia="en-GB"/>
              </w:rPr>
              <w:t>**</w:t>
            </w:r>
          </w:p>
        </w:tc>
        <w:tc>
          <w:tcPr>
            <w:tcW w:w="355" w:type="pct"/>
            <w:noWrap/>
            <w:hideMark/>
          </w:tcPr>
          <w:p w14:paraId="6AD95A2B"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2F652121"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8" w:type="pct"/>
            <w:noWrap/>
            <w:hideMark/>
          </w:tcPr>
          <w:p w14:paraId="55B4AC0E"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0F39705A"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78" w:type="pct"/>
            <w:noWrap/>
            <w:hideMark/>
          </w:tcPr>
          <w:p w14:paraId="2997E950"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20" w:type="pct"/>
            <w:noWrap/>
            <w:hideMark/>
          </w:tcPr>
          <w:p w14:paraId="43DE79E1"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r>
      <w:tr w:rsidR="00BB5435" w:rsidRPr="00ED4362" w14:paraId="41ADB182" w14:textId="77777777" w:rsidTr="00454318">
        <w:trPr>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33E93533"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6</w:t>
            </w:r>
          </w:p>
        </w:tc>
        <w:tc>
          <w:tcPr>
            <w:tcW w:w="1409" w:type="pct"/>
            <w:hideMark/>
          </w:tcPr>
          <w:p w14:paraId="14AAA9A4"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n-GB"/>
              </w:rPr>
            </w:pPr>
            <w:r w:rsidRPr="00ED4362">
              <w:rPr>
                <w:rFonts w:ascii="Arial" w:eastAsia="Times New Roman" w:hAnsi="Arial" w:cs="Arial"/>
                <w:b/>
                <w:bCs/>
                <w:color w:val="000000"/>
                <w:sz w:val="18"/>
                <w:szCs w:val="18"/>
                <w:lang w:eastAsia="en-GB"/>
              </w:rPr>
              <w:t xml:space="preserve">Direct IESR </w:t>
            </w:r>
            <w:proofErr w:type="spellStart"/>
            <w:r w:rsidRPr="00ED4362">
              <w:rPr>
                <w:rFonts w:ascii="Arial" w:eastAsia="Times New Roman" w:hAnsi="Arial" w:cs="Arial"/>
                <w:b/>
                <w:bCs/>
                <w:color w:val="000000"/>
                <w:sz w:val="18"/>
                <w:szCs w:val="18"/>
                <w:lang w:eastAsia="en-GB"/>
              </w:rPr>
              <w:t>Intrusion</w:t>
            </w:r>
            <w:proofErr w:type="spellEnd"/>
          </w:p>
        </w:tc>
        <w:tc>
          <w:tcPr>
            <w:tcW w:w="355" w:type="pct"/>
            <w:noWrap/>
            <w:hideMark/>
          </w:tcPr>
          <w:p w14:paraId="723AB052"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.292</w:t>
            </w:r>
            <w:r w:rsidRPr="00ED4362">
              <w:rPr>
                <w:rFonts w:ascii="Arial" w:eastAsia="Times New Roman" w:hAnsi="Arial" w:cs="Arial"/>
                <w:color w:val="000000"/>
                <w:sz w:val="18"/>
                <w:szCs w:val="18"/>
                <w:vertAlign w:val="superscript"/>
                <w:lang w:eastAsia="en-GB"/>
              </w:rPr>
              <w:t>**</w:t>
            </w:r>
          </w:p>
        </w:tc>
        <w:tc>
          <w:tcPr>
            <w:tcW w:w="385" w:type="pct"/>
            <w:noWrap/>
            <w:hideMark/>
          </w:tcPr>
          <w:p w14:paraId="508B3F63"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.544</w:t>
            </w:r>
            <w:r w:rsidRPr="00ED4362">
              <w:rPr>
                <w:rFonts w:ascii="Arial" w:eastAsia="Times New Roman" w:hAnsi="Arial" w:cs="Arial"/>
                <w:color w:val="000000"/>
                <w:sz w:val="18"/>
                <w:szCs w:val="18"/>
                <w:vertAlign w:val="superscript"/>
                <w:lang w:eastAsia="en-GB"/>
              </w:rPr>
              <w:t>**</w:t>
            </w:r>
          </w:p>
        </w:tc>
        <w:tc>
          <w:tcPr>
            <w:tcW w:w="355" w:type="pct"/>
            <w:noWrap/>
            <w:hideMark/>
          </w:tcPr>
          <w:p w14:paraId="090B8DB6"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.329</w:t>
            </w:r>
            <w:r w:rsidRPr="00ED4362">
              <w:rPr>
                <w:rFonts w:ascii="Arial" w:eastAsia="Times New Roman" w:hAnsi="Arial" w:cs="Arial"/>
                <w:color w:val="000000"/>
                <w:sz w:val="18"/>
                <w:szCs w:val="18"/>
                <w:vertAlign w:val="superscript"/>
                <w:lang w:eastAsia="en-GB"/>
              </w:rPr>
              <w:t>**</w:t>
            </w:r>
          </w:p>
        </w:tc>
        <w:tc>
          <w:tcPr>
            <w:tcW w:w="355" w:type="pct"/>
            <w:noWrap/>
            <w:hideMark/>
          </w:tcPr>
          <w:p w14:paraId="1B48434E"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.376</w:t>
            </w:r>
            <w:r w:rsidRPr="00ED4362">
              <w:rPr>
                <w:rFonts w:ascii="Arial" w:eastAsia="Times New Roman" w:hAnsi="Arial" w:cs="Arial"/>
                <w:color w:val="000000"/>
                <w:sz w:val="18"/>
                <w:szCs w:val="18"/>
                <w:vertAlign w:val="superscript"/>
                <w:lang w:eastAsia="en-GB"/>
              </w:rPr>
              <w:t>**</w:t>
            </w:r>
          </w:p>
        </w:tc>
        <w:tc>
          <w:tcPr>
            <w:tcW w:w="355" w:type="pct"/>
            <w:noWrap/>
            <w:hideMark/>
          </w:tcPr>
          <w:p w14:paraId="3E4AC60D"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.494</w:t>
            </w:r>
            <w:r w:rsidRPr="00ED4362">
              <w:rPr>
                <w:rFonts w:ascii="Arial" w:eastAsia="Times New Roman" w:hAnsi="Arial" w:cs="Arial"/>
                <w:color w:val="000000"/>
                <w:sz w:val="18"/>
                <w:szCs w:val="18"/>
                <w:vertAlign w:val="superscript"/>
                <w:lang w:eastAsia="en-GB"/>
              </w:rPr>
              <w:t>**</w:t>
            </w:r>
          </w:p>
        </w:tc>
        <w:tc>
          <w:tcPr>
            <w:tcW w:w="355" w:type="pct"/>
            <w:noWrap/>
            <w:hideMark/>
          </w:tcPr>
          <w:p w14:paraId="559CBBD6"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8" w:type="pct"/>
            <w:noWrap/>
            <w:hideMark/>
          </w:tcPr>
          <w:p w14:paraId="78DED5C8"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17BC6015"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78" w:type="pct"/>
            <w:noWrap/>
            <w:hideMark/>
          </w:tcPr>
          <w:p w14:paraId="30BEB403"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20" w:type="pct"/>
            <w:noWrap/>
            <w:hideMark/>
          </w:tcPr>
          <w:p w14:paraId="1F0C9B47"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r>
      <w:tr w:rsidR="00BB5435" w:rsidRPr="00ED4362" w14:paraId="29E11BEE" w14:textId="77777777" w:rsidTr="004543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3F7FA357"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7</w:t>
            </w:r>
          </w:p>
        </w:tc>
        <w:tc>
          <w:tcPr>
            <w:tcW w:w="1409" w:type="pct"/>
            <w:hideMark/>
          </w:tcPr>
          <w:p w14:paraId="1EAA15A7" w14:textId="77777777" w:rsidR="00BB5435" w:rsidRPr="00ED4362" w:rsidRDefault="00BB5435" w:rsidP="004543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n-GB"/>
              </w:rPr>
            </w:pPr>
            <w:r w:rsidRPr="00ED4362">
              <w:rPr>
                <w:rFonts w:ascii="Arial" w:eastAsia="Times New Roman" w:hAnsi="Arial" w:cs="Arial"/>
                <w:b/>
                <w:bCs/>
                <w:color w:val="000000"/>
                <w:sz w:val="18"/>
                <w:szCs w:val="18"/>
                <w:lang w:eastAsia="en-GB"/>
              </w:rPr>
              <w:t xml:space="preserve">Direct IESR </w:t>
            </w:r>
            <w:proofErr w:type="spellStart"/>
            <w:r w:rsidRPr="00ED4362">
              <w:rPr>
                <w:rFonts w:ascii="Arial" w:eastAsia="Times New Roman" w:hAnsi="Arial" w:cs="Arial"/>
                <w:b/>
                <w:bCs/>
                <w:color w:val="000000"/>
                <w:sz w:val="18"/>
                <w:szCs w:val="18"/>
                <w:lang w:eastAsia="en-GB"/>
              </w:rPr>
              <w:t>Avoidance</w:t>
            </w:r>
            <w:proofErr w:type="spellEnd"/>
          </w:p>
        </w:tc>
        <w:tc>
          <w:tcPr>
            <w:tcW w:w="355" w:type="pct"/>
            <w:noWrap/>
            <w:hideMark/>
          </w:tcPr>
          <w:p w14:paraId="7E0D615C"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.17</w:t>
            </w:r>
          </w:p>
        </w:tc>
        <w:tc>
          <w:tcPr>
            <w:tcW w:w="385" w:type="pct"/>
            <w:noWrap/>
            <w:hideMark/>
          </w:tcPr>
          <w:p w14:paraId="625D0161"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.358</w:t>
            </w:r>
            <w:r w:rsidRPr="00ED4362">
              <w:rPr>
                <w:rFonts w:ascii="Arial" w:eastAsia="Times New Roman" w:hAnsi="Arial" w:cs="Arial"/>
                <w:color w:val="000000"/>
                <w:sz w:val="18"/>
                <w:szCs w:val="18"/>
                <w:vertAlign w:val="superscript"/>
                <w:lang w:eastAsia="en-GB"/>
              </w:rPr>
              <w:t>**</w:t>
            </w:r>
          </w:p>
        </w:tc>
        <w:tc>
          <w:tcPr>
            <w:tcW w:w="355" w:type="pct"/>
            <w:noWrap/>
            <w:hideMark/>
          </w:tcPr>
          <w:p w14:paraId="250AC2ED"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.318</w:t>
            </w:r>
            <w:r w:rsidRPr="00ED4362">
              <w:rPr>
                <w:rFonts w:ascii="Arial" w:eastAsia="Times New Roman" w:hAnsi="Arial" w:cs="Arial"/>
                <w:color w:val="000000"/>
                <w:sz w:val="18"/>
                <w:szCs w:val="18"/>
                <w:vertAlign w:val="superscript"/>
                <w:lang w:eastAsia="en-GB"/>
              </w:rPr>
              <w:t>**</w:t>
            </w:r>
          </w:p>
        </w:tc>
        <w:tc>
          <w:tcPr>
            <w:tcW w:w="355" w:type="pct"/>
            <w:noWrap/>
            <w:hideMark/>
          </w:tcPr>
          <w:p w14:paraId="28E4CC06"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.245</w:t>
            </w:r>
            <w:r w:rsidRPr="00ED4362">
              <w:rPr>
                <w:rFonts w:ascii="Arial" w:eastAsia="Times New Roman" w:hAnsi="Arial" w:cs="Arial"/>
                <w:color w:val="000000"/>
                <w:sz w:val="18"/>
                <w:szCs w:val="18"/>
                <w:vertAlign w:val="superscript"/>
                <w:lang w:eastAsia="en-GB"/>
              </w:rPr>
              <w:t>**</w:t>
            </w:r>
          </w:p>
        </w:tc>
        <w:tc>
          <w:tcPr>
            <w:tcW w:w="355" w:type="pct"/>
            <w:noWrap/>
            <w:hideMark/>
          </w:tcPr>
          <w:p w14:paraId="6C73D86B"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.361</w:t>
            </w:r>
            <w:r w:rsidRPr="00ED4362">
              <w:rPr>
                <w:rFonts w:ascii="Arial" w:eastAsia="Times New Roman" w:hAnsi="Arial" w:cs="Arial"/>
                <w:color w:val="000000"/>
                <w:sz w:val="18"/>
                <w:szCs w:val="18"/>
                <w:vertAlign w:val="superscript"/>
                <w:lang w:eastAsia="en-GB"/>
              </w:rPr>
              <w:t>**</w:t>
            </w:r>
          </w:p>
        </w:tc>
        <w:tc>
          <w:tcPr>
            <w:tcW w:w="355" w:type="pct"/>
            <w:noWrap/>
            <w:hideMark/>
          </w:tcPr>
          <w:p w14:paraId="334283B2"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.815</w:t>
            </w:r>
            <w:r w:rsidRPr="00ED4362">
              <w:rPr>
                <w:rFonts w:ascii="Arial" w:eastAsia="Times New Roman" w:hAnsi="Arial" w:cs="Arial"/>
                <w:color w:val="000000"/>
                <w:sz w:val="18"/>
                <w:szCs w:val="18"/>
                <w:vertAlign w:val="superscript"/>
                <w:lang w:eastAsia="en-GB"/>
              </w:rPr>
              <w:t>**</w:t>
            </w:r>
          </w:p>
        </w:tc>
        <w:tc>
          <w:tcPr>
            <w:tcW w:w="358" w:type="pct"/>
            <w:noWrap/>
            <w:hideMark/>
          </w:tcPr>
          <w:p w14:paraId="19C32333"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355" w:type="pct"/>
            <w:noWrap/>
            <w:hideMark/>
          </w:tcPr>
          <w:p w14:paraId="6E2A25B4"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78" w:type="pct"/>
            <w:noWrap/>
            <w:hideMark/>
          </w:tcPr>
          <w:p w14:paraId="61F563D9"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20" w:type="pct"/>
            <w:noWrap/>
            <w:hideMark/>
          </w:tcPr>
          <w:p w14:paraId="1E04669B"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r>
      <w:tr w:rsidR="00BB5435" w:rsidRPr="00ED4362" w14:paraId="2BE2EFA9" w14:textId="77777777" w:rsidTr="00454318">
        <w:trPr>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3BF94836"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8</w:t>
            </w:r>
          </w:p>
        </w:tc>
        <w:tc>
          <w:tcPr>
            <w:tcW w:w="1409" w:type="pct"/>
            <w:hideMark/>
          </w:tcPr>
          <w:p w14:paraId="655415C8"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n-GB"/>
              </w:rPr>
            </w:pPr>
            <w:r w:rsidRPr="00ED4362">
              <w:rPr>
                <w:rFonts w:ascii="Arial" w:eastAsia="Times New Roman" w:hAnsi="Arial" w:cs="Arial"/>
                <w:b/>
                <w:bCs/>
                <w:color w:val="000000"/>
                <w:sz w:val="18"/>
                <w:szCs w:val="18"/>
                <w:lang w:eastAsia="en-GB"/>
              </w:rPr>
              <w:t xml:space="preserve">Direct IESR </w:t>
            </w:r>
            <w:proofErr w:type="spellStart"/>
            <w:r w:rsidRPr="00ED4362">
              <w:rPr>
                <w:rFonts w:ascii="Arial" w:eastAsia="Times New Roman" w:hAnsi="Arial" w:cs="Arial"/>
                <w:b/>
                <w:bCs/>
                <w:color w:val="000000"/>
                <w:sz w:val="18"/>
                <w:szCs w:val="18"/>
                <w:lang w:eastAsia="en-GB"/>
              </w:rPr>
              <w:t>Hyper</w:t>
            </w:r>
            <w:proofErr w:type="spellEnd"/>
            <w:r w:rsidRPr="00ED4362">
              <w:rPr>
                <w:rFonts w:ascii="Arial" w:eastAsia="Times New Roman" w:hAnsi="Arial" w:cs="Arial"/>
                <w:b/>
                <w:bCs/>
                <w:color w:val="000000"/>
                <w:sz w:val="18"/>
                <w:szCs w:val="18"/>
                <w:lang w:eastAsia="en-GB"/>
              </w:rPr>
              <w:t xml:space="preserve"> </w:t>
            </w:r>
            <w:proofErr w:type="spellStart"/>
            <w:r w:rsidRPr="00ED4362">
              <w:rPr>
                <w:rFonts w:ascii="Arial" w:eastAsia="Times New Roman" w:hAnsi="Arial" w:cs="Arial"/>
                <w:b/>
                <w:bCs/>
                <w:color w:val="000000"/>
                <w:sz w:val="18"/>
                <w:szCs w:val="18"/>
                <w:lang w:eastAsia="en-GB"/>
              </w:rPr>
              <w:t>arousal</w:t>
            </w:r>
            <w:proofErr w:type="spellEnd"/>
          </w:p>
        </w:tc>
        <w:tc>
          <w:tcPr>
            <w:tcW w:w="355" w:type="pct"/>
            <w:noWrap/>
            <w:hideMark/>
          </w:tcPr>
          <w:p w14:paraId="65D49583"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.301</w:t>
            </w:r>
            <w:r w:rsidRPr="00ED4362">
              <w:rPr>
                <w:rFonts w:ascii="Arial" w:eastAsia="Times New Roman" w:hAnsi="Arial" w:cs="Arial"/>
                <w:color w:val="000000"/>
                <w:sz w:val="18"/>
                <w:szCs w:val="18"/>
                <w:vertAlign w:val="superscript"/>
                <w:lang w:eastAsia="en-GB"/>
              </w:rPr>
              <w:t>**</w:t>
            </w:r>
          </w:p>
        </w:tc>
        <w:tc>
          <w:tcPr>
            <w:tcW w:w="385" w:type="pct"/>
            <w:noWrap/>
            <w:hideMark/>
          </w:tcPr>
          <w:p w14:paraId="2778A619"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.527</w:t>
            </w:r>
            <w:r w:rsidRPr="00ED4362">
              <w:rPr>
                <w:rFonts w:ascii="Arial" w:eastAsia="Times New Roman" w:hAnsi="Arial" w:cs="Arial"/>
                <w:color w:val="000000"/>
                <w:sz w:val="18"/>
                <w:szCs w:val="18"/>
                <w:vertAlign w:val="superscript"/>
                <w:lang w:eastAsia="en-GB"/>
              </w:rPr>
              <w:t>**</w:t>
            </w:r>
          </w:p>
        </w:tc>
        <w:tc>
          <w:tcPr>
            <w:tcW w:w="355" w:type="pct"/>
            <w:noWrap/>
            <w:hideMark/>
          </w:tcPr>
          <w:p w14:paraId="5A88C8F3"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.343</w:t>
            </w:r>
            <w:r w:rsidRPr="00ED4362">
              <w:rPr>
                <w:rFonts w:ascii="Arial" w:eastAsia="Times New Roman" w:hAnsi="Arial" w:cs="Arial"/>
                <w:color w:val="000000"/>
                <w:sz w:val="18"/>
                <w:szCs w:val="18"/>
                <w:vertAlign w:val="superscript"/>
                <w:lang w:eastAsia="en-GB"/>
              </w:rPr>
              <w:t>**</w:t>
            </w:r>
          </w:p>
        </w:tc>
        <w:tc>
          <w:tcPr>
            <w:tcW w:w="355" w:type="pct"/>
            <w:noWrap/>
            <w:hideMark/>
          </w:tcPr>
          <w:p w14:paraId="4C91F123"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.418</w:t>
            </w:r>
            <w:r w:rsidRPr="00ED4362">
              <w:rPr>
                <w:rFonts w:ascii="Arial" w:eastAsia="Times New Roman" w:hAnsi="Arial" w:cs="Arial"/>
                <w:color w:val="000000"/>
                <w:sz w:val="18"/>
                <w:szCs w:val="18"/>
                <w:vertAlign w:val="superscript"/>
                <w:lang w:eastAsia="en-GB"/>
              </w:rPr>
              <w:t>**</w:t>
            </w:r>
          </w:p>
        </w:tc>
        <w:tc>
          <w:tcPr>
            <w:tcW w:w="355" w:type="pct"/>
            <w:noWrap/>
            <w:hideMark/>
          </w:tcPr>
          <w:p w14:paraId="15DCA3E9"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.505</w:t>
            </w:r>
            <w:r w:rsidRPr="00ED4362">
              <w:rPr>
                <w:rFonts w:ascii="Arial" w:eastAsia="Times New Roman" w:hAnsi="Arial" w:cs="Arial"/>
                <w:color w:val="000000"/>
                <w:sz w:val="18"/>
                <w:szCs w:val="18"/>
                <w:vertAlign w:val="superscript"/>
                <w:lang w:eastAsia="en-GB"/>
              </w:rPr>
              <w:t>**</w:t>
            </w:r>
          </w:p>
        </w:tc>
        <w:tc>
          <w:tcPr>
            <w:tcW w:w="355" w:type="pct"/>
            <w:noWrap/>
            <w:hideMark/>
          </w:tcPr>
          <w:p w14:paraId="4C88CD1A"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.894</w:t>
            </w:r>
            <w:r w:rsidRPr="00ED4362">
              <w:rPr>
                <w:rFonts w:ascii="Arial" w:eastAsia="Times New Roman" w:hAnsi="Arial" w:cs="Arial"/>
                <w:color w:val="000000"/>
                <w:sz w:val="18"/>
                <w:szCs w:val="18"/>
                <w:vertAlign w:val="superscript"/>
                <w:lang w:eastAsia="en-GB"/>
              </w:rPr>
              <w:t>**</w:t>
            </w:r>
          </w:p>
        </w:tc>
        <w:tc>
          <w:tcPr>
            <w:tcW w:w="358" w:type="pct"/>
            <w:noWrap/>
            <w:hideMark/>
          </w:tcPr>
          <w:p w14:paraId="373145C6"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 xml:space="preserve"> .817</w:t>
            </w:r>
            <w:r w:rsidRPr="00ED4362">
              <w:rPr>
                <w:rFonts w:ascii="Arial" w:eastAsia="Times New Roman" w:hAnsi="Arial" w:cs="Arial"/>
                <w:color w:val="000000"/>
                <w:sz w:val="18"/>
                <w:szCs w:val="18"/>
                <w:vertAlign w:val="superscript"/>
                <w:lang w:eastAsia="en-GB"/>
              </w:rPr>
              <w:t>**</w:t>
            </w:r>
          </w:p>
        </w:tc>
        <w:tc>
          <w:tcPr>
            <w:tcW w:w="355" w:type="pct"/>
            <w:noWrap/>
            <w:hideMark/>
          </w:tcPr>
          <w:p w14:paraId="784E82E9"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78" w:type="pct"/>
            <w:noWrap/>
            <w:hideMark/>
          </w:tcPr>
          <w:p w14:paraId="77011782"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20" w:type="pct"/>
            <w:noWrap/>
            <w:hideMark/>
          </w:tcPr>
          <w:p w14:paraId="7FEFC198"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r>
      <w:tr w:rsidR="00BB5435" w:rsidRPr="00ED4362" w14:paraId="3343EB3E" w14:textId="77777777" w:rsidTr="004543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3C110195"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9</w:t>
            </w:r>
          </w:p>
        </w:tc>
        <w:tc>
          <w:tcPr>
            <w:tcW w:w="1409" w:type="pct"/>
            <w:hideMark/>
          </w:tcPr>
          <w:p w14:paraId="73768D23" w14:textId="77777777" w:rsidR="00BB5435" w:rsidRPr="00ED4362" w:rsidRDefault="00BB5435" w:rsidP="004543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n-GB"/>
              </w:rPr>
            </w:pPr>
            <w:r w:rsidRPr="00ED4362">
              <w:rPr>
                <w:rFonts w:ascii="Arial" w:eastAsia="Times New Roman" w:hAnsi="Arial" w:cs="Arial"/>
                <w:b/>
                <w:bCs/>
                <w:color w:val="000000"/>
                <w:sz w:val="18"/>
                <w:szCs w:val="18"/>
                <w:lang w:eastAsia="en-GB"/>
              </w:rPr>
              <w:t xml:space="preserve">Direct IESR Total </w:t>
            </w:r>
            <w:proofErr w:type="spellStart"/>
            <w:r w:rsidRPr="00ED4362">
              <w:rPr>
                <w:rFonts w:ascii="Arial" w:eastAsia="Times New Roman" w:hAnsi="Arial" w:cs="Arial"/>
                <w:b/>
                <w:bCs/>
                <w:color w:val="000000"/>
                <w:sz w:val="18"/>
                <w:szCs w:val="18"/>
                <w:lang w:eastAsia="en-GB"/>
              </w:rPr>
              <w:t>Score</w:t>
            </w:r>
            <w:proofErr w:type="spellEnd"/>
          </w:p>
        </w:tc>
        <w:tc>
          <w:tcPr>
            <w:tcW w:w="355" w:type="pct"/>
            <w:noWrap/>
            <w:hideMark/>
          </w:tcPr>
          <w:p w14:paraId="26117A04"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.267</w:t>
            </w:r>
            <w:r w:rsidRPr="00ED4362">
              <w:rPr>
                <w:rFonts w:ascii="Arial" w:eastAsia="Times New Roman" w:hAnsi="Arial" w:cs="Arial"/>
                <w:color w:val="000000"/>
                <w:sz w:val="18"/>
                <w:szCs w:val="18"/>
                <w:vertAlign w:val="superscript"/>
                <w:lang w:eastAsia="en-GB"/>
              </w:rPr>
              <w:t>**</w:t>
            </w:r>
          </w:p>
        </w:tc>
        <w:tc>
          <w:tcPr>
            <w:tcW w:w="385" w:type="pct"/>
            <w:noWrap/>
            <w:hideMark/>
          </w:tcPr>
          <w:p w14:paraId="0782C080"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.503</w:t>
            </w:r>
            <w:r w:rsidRPr="00ED4362">
              <w:rPr>
                <w:rFonts w:ascii="Arial" w:eastAsia="Times New Roman" w:hAnsi="Arial" w:cs="Arial"/>
                <w:color w:val="000000"/>
                <w:sz w:val="18"/>
                <w:szCs w:val="18"/>
                <w:vertAlign w:val="superscript"/>
                <w:lang w:eastAsia="en-GB"/>
              </w:rPr>
              <w:t>**</w:t>
            </w:r>
          </w:p>
        </w:tc>
        <w:tc>
          <w:tcPr>
            <w:tcW w:w="355" w:type="pct"/>
            <w:noWrap/>
            <w:hideMark/>
          </w:tcPr>
          <w:p w14:paraId="3E1FA832"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.348</w:t>
            </w:r>
            <w:r w:rsidRPr="00ED4362">
              <w:rPr>
                <w:rFonts w:ascii="Arial" w:eastAsia="Times New Roman" w:hAnsi="Arial" w:cs="Arial"/>
                <w:color w:val="000000"/>
                <w:sz w:val="18"/>
                <w:szCs w:val="18"/>
                <w:vertAlign w:val="superscript"/>
                <w:lang w:eastAsia="en-GB"/>
              </w:rPr>
              <w:t>**</w:t>
            </w:r>
          </w:p>
        </w:tc>
        <w:tc>
          <w:tcPr>
            <w:tcW w:w="355" w:type="pct"/>
            <w:noWrap/>
            <w:hideMark/>
          </w:tcPr>
          <w:p w14:paraId="5F845AC2"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.362</w:t>
            </w:r>
            <w:r w:rsidRPr="00ED4362">
              <w:rPr>
                <w:rFonts w:ascii="Arial" w:eastAsia="Times New Roman" w:hAnsi="Arial" w:cs="Arial"/>
                <w:color w:val="000000"/>
                <w:sz w:val="18"/>
                <w:szCs w:val="18"/>
                <w:vertAlign w:val="superscript"/>
                <w:lang w:eastAsia="en-GB"/>
              </w:rPr>
              <w:t>**</w:t>
            </w:r>
          </w:p>
        </w:tc>
        <w:tc>
          <w:tcPr>
            <w:tcW w:w="355" w:type="pct"/>
            <w:noWrap/>
            <w:hideMark/>
          </w:tcPr>
          <w:p w14:paraId="739AA116"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.478</w:t>
            </w:r>
            <w:r w:rsidRPr="00ED4362">
              <w:rPr>
                <w:rFonts w:ascii="Arial" w:eastAsia="Times New Roman" w:hAnsi="Arial" w:cs="Arial"/>
                <w:color w:val="000000"/>
                <w:sz w:val="18"/>
                <w:szCs w:val="18"/>
                <w:vertAlign w:val="superscript"/>
                <w:lang w:eastAsia="en-GB"/>
              </w:rPr>
              <w:t>**</w:t>
            </w:r>
          </w:p>
        </w:tc>
        <w:tc>
          <w:tcPr>
            <w:tcW w:w="355" w:type="pct"/>
            <w:noWrap/>
            <w:hideMark/>
          </w:tcPr>
          <w:p w14:paraId="0E22B651"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.960</w:t>
            </w:r>
            <w:r w:rsidRPr="00ED4362">
              <w:rPr>
                <w:rFonts w:ascii="Arial" w:eastAsia="Times New Roman" w:hAnsi="Arial" w:cs="Arial"/>
                <w:color w:val="000000"/>
                <w:sz w:val="18"/>
                <w:szCs w:val="18"/>
                <w:vertAlign w:val="superscript"/>
                <w:lang w:eastAsia="en-GB"/>
              </w:rPr>
              <w:t>**</w:t>
            </w:r>
          </w:p>
        </w:tc>
        <w:tc>
          <w:tcPr>
            <w:tcW w:w="358" w:type="pct"/>
            <w:noWrap/>
            <w:hideMark/>
          </w:tcPr>
          <w:p w14:paraId="64B8F580"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 xml:space="preserve"> .929</w:t>
            </w:r>
            <w:r w:rsidRPr="00ED4362">
              <w:rPr>
                <w:rFonts w:ascii="Arial" w:eastAsia="Times New Roman" w:hAnsi="Arial" w:cs="Arial"/>
                <w:color w:val="000000"/>
                <w:sz w:val="18"/>
                <w:szCs w:val="18"/>
                <w:vertAlign w:val="superscript"/>
                <w:lang w:eastAsia="en-GB"/>
              </w:rPr>
              <w:t>**</w:t>
            </w:r>
          </w:p>
        </w:tc>
        <w:tc>
          <w:tcPr>
            <w:tcW w:w="355" w:type="pct"/>
            <w:noWrap/>
            <w:hideMark/>
          </w:tcPr>
          <w:p w14:paraId="26AF128F"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.947</w:t>
            </w:r>
            <w:r w:rsidRPr="00ED4362">
              <w:rPr>
                <w:rFonts w:ascii="Arial" w:eastAsia="Times New Roman" w:hAnsi="Arial" w:cs="Arial"/>
                <w:color w:val="000000"/>
                <w:sz w:val="18"/>
                <w:szCs w:val="18"/>
                <w:vertAlign w:val="superscript"/>
                <w:lang w:eastAsia="en-GB"/>
              </w:rPr>
              <w:t>**</w:t>
            </w:r>
          </w:p>
        </w:tc>
        <w:tc>
          <w:tcPr>
            <w:tcW w:w="278" w:type="pct"/>
            <w:noWrap/>
            <w:hideMark/>
          </w:tcPr>
          <w:p w14:paraId="2567B05F"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c>
          <w:tcPr>
            <w:tcW w:w="220" w:type="pct"/>
            <w:noWrap/>
            <w:hideMark/>
          </w:tcPr>
          <w:p w14:paraId="15E5FDBD" w14:textId="77777777" w:rsidR="00BB5435" w:rsidRPr="00ED4362" w:rsidRDefault="00BB5435" w:rsidP="004543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r>
      <w:tr w:rsidR="00BB5435" w:rsidRPr="00ED4362" w14:paraId="2087041B" w14:textId="77777777" w:rsidTr="00454318">
        <w:trPr>
          <w:trHeight w:val="300"/>
        </w:trPr>
        <w:tc>
          <w:tcPr>
            <w:cnfStyle w:val="001000000000" w:firstRow="0" w:lastRow="0" w:firstColumn="1" w:lastColumn="0" w:oddVBand="0" w:evenVBand="0" w:oddHBand="0" w:evenHBand="0" w:firstRowFirstColumn="0" w:firstRowLastColumn="0" w:lastRowFirstColumn="0" w:lastRowLastColumn="0"/>
            <w:tcW w:w="220" w:type="pct"/>
            <w:noWrap/>
            <w:hideMark/>
          </w:tcPr>
          <w:p w14:paraId="4FA46A1C"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10</w:t>
            </w:r>
          </w:p>
        </w:tc>
        <w:tc>
          <w:tcPr>
            <w:tcW w:w="1409" w:type="pct"/>
            <w:hideMark/>
          </w:tcPr>
          <w:p w14:paraId="7187A40A"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n-GB"/>
              </w:rPr>
            </w:pPr>
            <w:r w:rsidRPr="00ED4362">
              <w:rPr>
                <w:rFonts w:ascii="Arial" w:eastAsia="Times New Roman" w:hAnsi="Arial" w:cs="Arial"/>
                <w:b/>
                <w:bCs/>
                <w:color w:val="000000"/>
                <w:sz w:val="18"/>
                <w:szCs w:val="18"/>
                <w:lang w:eastAsia="en-GB"/>
              </w:rPr>
              <w:t xml:space="preserve">Media </w:t>
            </w:r>
            <w:proofErr w:type="spellStart"/>
            <w:r w:rsidRPr="00ED4362">
              <w:rPr>
                <w:rFonts w:ascii="Arial" w:eastAsia="Times New Roman" w:hAnsi="Arial" w:cs="Arial"/>
                <w:b/>
                <w:bCs/>
                <w:color w:val="000000"/>
                <w:sz w:val="18"/>
                <w:szCs w:val="18"/>
                <w:lang w:eastAsia="en-GB"/>
              </w:rPr>
              <w:t>Trauma</w:t>
            </w:r>
            <w:proofErr w:type="spellEnd"/>
            <w:r w:rsidRPr="00ED4362">
              <w:rPr>
                <w:rFonts w:ascii="Arial" w:eastAsia="Times New Roman" w:hAnsi="Arial" w:cs="Arial"/>
                <w:b/>
                <w:bCs/>
                <w:color w:val="000000"/>
                <w:sz w:val="18"/>
                <w:szCs w:val="18"/>
                <w:lang w:eastAsia="en-GB"/>
              </w:rPr>
              <w:t xml:space="preserve"> </w:t>
            </w:r>
            <w:proofErr w:type="spellStart"/>
            <w:r w:rsidRPr="00ED4362">
              <w:rPr>
                <w:rFonts w:ascii="Arial" w:eastAsia="Times New Roman" w:hAnsi="Arial" w:cs="Arial"/>
                <w:b/>
                <w:bCs/>
                <w:color w:val="000000"/>
                <w:sz w:val="18"/>
                <w:szCs w:val="18"/>
                <w:lang w:eastAsia="en-GB"/>
              </w:rPr>
              <w:t>Exposure</w:t>
            </w:r>
            <w:proofErr w:type="spellEnd"/>
            <w:r w:rsidRPr="00ED4362">
              <w:rPr>
                <w:rFonts w:ascii="Arial" w:eastAsia="Times New Roman" w:hAnsi="Arial" w:cs="Arial"/>
                <w:b/>
                <w:bCs/>
                <w:color w:val="000000"/>
                <w:sz w:val="18"/>
                <w:szCs w:val="18"/>
                <w:lang w:eastAsia="en-GB"/>
              </w:rPr>
              <w:t xml:space="preserve"> </w:t>
            </w:r>
            <w:proofErr w:type="spellStart"/>
            <w:r w:rsidRPr="00ED4362">
              <w:rPr>
                <w:rFonts w:ascii="Arial" w:eastAsia="Times New Roman" w:hAnsi="Arial" w:cs="Arial"/>
                <w:b/>
                <w:bCs/>
                <w:color w:val="000000"/>
                <w:sz w:val="18"/>
                <w:szCs w:val="18"/>
                <w:lang w:eastAsia="en-GB"/>
              </w:rPr>
              <w:t>Frequency</w:t>
            </w:r>
            <w:proofErr w:type="spellEnd"/>
          </w:p>
        </w:tc>
        <w:tc>
          <w:tcPr>
            <w:tcW w:w="355" w:type="pct"/>
            <w:noWrap/>
            <w:hideMark/>
          </w:tcPr>
          <w:p w14:paraId="7BACF4BD"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xml:space="preserve"> .06</w:t>
            </w:r>
          </w:p>
        </w:tc>
        <w:tc>
          <w:tcPr>
            <w:tcW w:w="385" w:type="pct"/>
            <w:noWrap/>
            <w:hideMark/>
          </w:tcPr>
          <w:p w14:paraId="3535E016"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xml:space="preserve"> -.04</w:t>
            </w:r>
          </w:p>
        </w:tc>
        <w:tc>
          <w:tcPr>
            <w:tcW w:w="355" w:type="pct"/>
            <w:noWrap/>
            <w:hideMark/>
          </w:tcPr>
          <w:p w14:paraId="6EE27558"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xml:space="preserve"> .17</w:t>
            </w:r>
          </w:p>
        </w:tc>
        <w:tc>
          <w:tcPr>
            <w:tcW w:w="355" w:type="pct"/>
            <w:noWrap/>
            <w:hideMark/>
          </w:tcPr>
          <w:p w14:paraId="00BCAA82"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xml:space="preserve"> -.03</w:t>
            </w:r>
          </w:p>
        </w:tc>
        <w:tc>
          <w:tcPr>
            <w:tcW w:w="355" w:type="pct"/>
            <w:noWrap/>
            <w:hideMark/>
          </w:tcPr>
          <w:p w14:paraId="60E5E250"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.03</w:t>
            </w:r>
          </w:p>
        </w:tc>
        <w:tc>
          <w:tcPr>
            <w:tcW w:w="355" w:type="pct"/>
            <w:noWrap/>
            <w:hideMark/>
          </w:tcPr>
          <w:p w14:paraId="6E2813E4"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-.14</w:t>
            </w:r>
          </w:p>
        </w:tc>
        <w:tc>
          <w:tcPr>
            <w:tcW w:w="358" w:type="pct"/>
            <w:noWrap/>
            <w:hideMark/>
          </w:tcPr>
          <w:p w14:paraId="12900EA9"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00000"/>
                <w:sz w:val="18"/>
                <w:szCs w:val="18"/>
                <w:lang w:eastAsia="en-GB"/>
              </w:rPr>
              <w:t>-.197</w:t>
            </w:r>
            <w:r w:rsidRPr="00ED4362">
              <w:rPr>
                <w:rFonts w:ascii="Arial" w:eastAsia="Times New Roman" w:hAnsi="Arial" w:cs="Arial"/>
                <w:color w:val="000000"/>
                <w:sz w:val="18"/>
                <w:szCs w:val="18"/>
                <w:vertAlign w:val="superscript"/>
                <w:lang w:eastAsia="en-GB"/>
              </w:rPr>
              <w:t>*</w:t>
            </w:r>
          </w:p>
        </w:tc>
        <w:tc>
          <w:tcPr>
            <w:tcW w:w="355" w:type="pct"/>
            <w:noWrap/>
            <w:hideMark/>
          </w:tcPr>
          <w:p w14:paraId="3B8F348C" w14:textId="77777777" w:rsidR="00BB5435" w:rsidRPr="00ED4362" w:rsidRDefault="00BB5435" w:rsidP="004543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-.14</w:t>
            </w:r>
          </w:p>
        </w:tc>
        <w:tc>
          <w:tcPr>
            <w:tcW w:w="278" w:type="pct"/>
            <w:noWrap/>
            <w:hideMark/>
          </w:tcPr>
          <w:p w14:paraId="7FDFBFD0"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-.17</w:t>
            </w:r>
          </w:p>
        </w:tc>
        <w:tc>
          <w:tcPr>
            <w:tcW w:w="220" w:type="pct"/>
            <w:noWrap/>
            <w:hideMark/>
          </w:tcPr>
          <w:p w14:paraId="45CE906A" w14:textId="77777777" w:rsidR="00BB5435" w:rsidRPr="00ED4362" w:rsidRDefault="00BB5435" w:rsidP="004543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10205"/>
                <w:sz w:val="18"/>
                <w:szCs w:val="18"/>
                <w:lang w:eastAsia="en-GB"/>
              </w:rPr>
            </w:pPr>
            <w:r w:rsidRPr="00ED4362">
              <w:rPr>
                <w:rFonts w:ascii="Arial" w:eastAsia="Times New Roman" w:hAnsi="Arial" w:cs="Arial"/>
                <w:color w:val="010205"/>
                <w:sz w:val="18"/>
                <w:szCs w:val="18"/>
                <w:lang w:eastAsia="en-GB"/>
              </w:rPr>
              <w:t> </w:t>
            </w:r>
          </w:p>
        </w:tc>
      </w:tr>
    </w:tbl>
    <w:p w14:paraId="76B5523A" w14:textId="77777777" w:rsidR="00BB5435" w:rsidRPr="00ED4362" w:rsidRDefault="00BB5435" w:rsidP="00BB5435">
      <w:pPr>
        <w:autoSpaceDE w:val="0"/>
        <w:autoSpaceDN w:val="0"/>
        <w:adjustRightInd w:val="0"/>
        <w:rPr>
          <w:rFonts w:ascii="Arial" w:hAnsi="Arial" w:cs="Arial"/>
          <w:sz w:val="18"/>
          <w:szCs w:val="18"/>
        </w:rPr>
      </w:pPr>
      <w:proofErr w:type="spellStart"/>
      <w:r w:rsidRPr="00ED4362">
        <w:rPr>
          <w:rFonts w:ascii="Arial" w:hAnsi="Arial" w:cs="Arial"/>
          <w:sz w:val="18"/>
          <w:szCs w:val="18"/>
        </w:rPr>
        <w:t>Note</w:t>
      </w:r>
      <w:proofErr w:type="spellEnd"/>
      <w:r w:rsidRPr="00ED4362">
        <w:rPr>
          <w:rFonts w:ascii="Arial" w:hAnsi="Arial" w:cs="Arial"/>
          <w:sz w:val="18"/>
          <w:szCs w:val="18"/>
        </w:rPr>
        <w:t>: N=122. *</w:t>
      </w:r>
      <w:proofErr w:type="gramStart"/>
      <w:r w:rsidRPr="00ED4362">
        <w:rPr>
          <w:rFonts w:ascii="Arial" w:hAnsi="Arial" w:cs="Arial"/>
          <w:sz w:val="18"/>
          <w:szCs w:val="18"/>
        </w:rPr>
        <w:t>p&lt; .</w:t>
      </w:r>
      <w:proofErr w:type="gramEnd"/>
      <w:r w:rsidRPr="00ED4362">
        <w:rPr>
          <w:rFonts w:ascii="Arial" w:hAnsi="Arial" w:cs="Arial"/>
          <w:sz w:val="18"/>
          <w:szCs w:val="18"/>
        </w:rPr>
        <w:t>05; **p&lt; .01;</w:t>
      </w:r>
    </w:p>
    <w:p w14:paraId="3805D159" w14:textId="2BC47747" w:rsidR="00B54325" w:rsidRDefault="00B54325"/>
    <w:p w14:paraId="2B20AAB2" w14:textId="1E23210D" w:rsidR="00B54325" w:rsidRDefault="00B54325"/>
    <w:p w14:paraId="45132F65" w14:textId="77777777" w:rsidR="00B54325" w:rsidRPr="00B54325" w:rsidRDefault="00B54325" w:rsidP="00B54325">
      <w:pPr>
        <w:rPr>
          <w:lang w:val="en-GR"/>
        </w:rPr>
      </w:pPr>
      <w:r w:rsidRPr="00B54325">
        <w:rPr>
          <w:lang w:val="en-US"/>
        </w:rPr>
        <w:t>There was a significant positive moderate correlation between PCL-5 total score and Media IESR Intrusion Symptoms, Media IESR Avoidance Symptoms, Media IESR Hyper Arousal Symptoms, Media IESR Total Score, Direct IESR Intrusion Symptoms, Direct IESR Hyper-Arousal Symptoms, Direct IESR Total Score. No significant relationship was found between PCL-5 Total Score and Direct IESR Avoidance Symptoms (</w:t>
      </w:r>
      <w:r w:rsidRPr="00B54325">
        <w:rPr>
          <w:i/>
          <w:iCs/>
          <w:lang w:val="en-US"/>
        </w:rPr>
        <w:t>r= 0.171, p=0.059 n=122</w:t>
      </w:r>
      <w:r w:rsidRPr="00B54325">
        <w:rPr>
          <w:lang w:val="en-US"/>
        </w:rPr>
        <w:t>), PCL-5 Total Score and Media Trauma Exposure Frequency (</w:t>
      </w:r>
      <w:r w:rsidRPr="00B54325">
        <w:rPr>
          <w:i/>
          <w:iCs/>
          <w:lang w:val="en-US"/>
        </w:rPr>
        <w:t>r= 0.064, p=0.487 n=122</w:t>
      </w:r>
      <w:r w:rsidRPr="00B54325">
        <w:rPr>
          <w:lang w:val="en-US"/>
        </w:rPr>
        <w:t xml:space="preserve">). </w:t>
      </w:r>
    </w:p>
    <w:p w14:paraId="56889BA4" w14:textId="153126A8" w:rsidR="00B54325" w:rsidRDefault="00B54325"/>
    <w:p w14:paraId="52D92B32" w14:textId="77777777" w:rsidR="00BB5435" w:rsidRDefault="00BB5435" w:rsidP="00BB5435">
      <w:pPr>
        <w:pStyle w:val="Caption"/>
        <w:rPr>
          <w:rFonts w:cs="Arial"/>
          <w:i/>
          <w:iCs w:val="0"/>
        </w:rPr>
      </w:pPr>
      <w:bookmarkStart w:id="1" w:name="_Toc35831495"/>
    </w:p>
    <w:p w14:paraId="6F3836B6" w14:textId="77777777" w:rsidR="00BB5435" w:rsidRDefault="00BB5435" w:rsidP="00BB5435">
      <w:pPr>
        <w:pStyle w:val="Caption"/>
        <w:rPr>
          <w:rFonts w:cs="Arial"/>
          <w:i/>
          <w:iCs w:val="0"/>
        </w:rPr>
      </w:pPr>
    </w:p>
    <w:p w14:paraId="0D0B52F9" w14:textId="77777777" w:rsidR="00BB5435" w:rsidRDefault="00BB5435" w:rsidP="00BB5435">
      <w:pPr>
        <w:pStyle w:val="Caption"/>
        <w:rPr>
          <w:rFonts w:cs="Arial"/>
          <w:i/>
          <w:iCs w:val="0"/>
        </w:rPr>
      </w:pPr>
    </w:p>
    <w:p w14:paraId="00F68920" w14:textId="5A97CFCA" w:rsidR="00BB5435" w:rsidRPr="009F1304" w:rsidRDefault="00BB5435" w:rsidP="00BB5435">
      <w:pPr>
        <w:pStyle w:val="Caption"/>
        <w:rPr>
          <w:rFonts w:cs="Arial"/>
          <w:i/>
          <w:iCs w:val="0"/>
        </w:rPr>
      </w:pPr>
      <w:r w:rsidRPr="009F1304">
        <w:rPr>
          <w:rFonts w:cs="Arial"/>
          <w:i/>
          <w:iCs w:val="0"/>
        </w:rPr>
        <w:lastRenderedPageBreak/>
        <w:t xml:space="preserve">Table </w:t>
      </w:r>
      <w:r>
        <w:rPr>
          <w:rFonts w:cs="Arial"/>
          <w:i/>
          <w:iCs w:val="0"/>
        </w:rPr>
        <w:t>3</w:t>
      </w:r>
      <w:r w:rsidRPr="009F1304">
        <w:rPr>
          <w:rFonts w:cs="Arial"/>
          <w:i/>
          <w:iCs w:val="0"/>
        </w:rPr>
        <w:t>: Descriptive Statistics</w:t>
      </w:r>
      <w:bookmarkEnd w:id="1"/>
    </w:p>
    <w:tbl>
      <w:tblPr>
        <w:tblW w:w="5528" w:type="dxa"/>
        <w:tblInd w:w="-10" w:type="dxa"/>
        <w:tblLook w:val="04A0" w:firstRow="1" w:lastRow="0" w:firstColumn="1" w:lastColumn="0" w:noHBand="0" w:noVBand="1"/>
      </w:tblPr>
      <w:tblGrid>
        <w:gridCol w:w="3402"/>
        <w:gridCol w:w="709"/>
        <w:gridCol w:w="1417"/>
      </w:tblGrid>
      <w:tr w:rsidR="00BB5435" w:rsidRPr="00ED4362" w14:paraId="4EF52793" w14:textId="77777777" w:rsidTr="00454318">
        <w:trPr>
          <w:trHeight w:val="320"/>
        </w:trPr>
        <w:tc>
          <w:tcPr>
            <w:tcW w:w="3402" w:type="dxa"/>
            <w:tcBorders>
              <w:top w:val="single" w:sz="4" w:space="0" w:color="auto"/>
              <w:bottom w:val="single" w:sz="4" w:space="0" w:color="auto"/>
            </w:tcBorders>
            <w:shd w:val="clear" w:color="000000" w:fill="FFFFFF"/>
            <w:noWrap/>
            <w:vAlign w:val="bottom"/>
            <w:hideMark/>
          </w:tcPr>
          <w:p w14:paraId="0CF73C76"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w:t>
            </w:r>
          </w:p>
        </w:tc>
        <w:tc>
          <w:tcPr>
            <w:tcW w:w="709" w:type="dxa"/>
            <w:tcBorders>
              <w:top w:val="single" w:sz="4" w:space="0" w:color="auto"/>
              <w:bottom w:val="single" w:sz="4" w:space="0" w:color="auto"/>
            </w:tcBorders>
            <w:shd w:val="clear" w:color="000000" w:fill="FFFFFF"/>
            <w:noWrap/>
            <w:vAlign w:val="bottom"/>
            <w:hideMark/>
          </w:tcPr>
          <w:p w14:paraId="03D73850" w14:textId="77777777" w:rsidR="00BB5435" w:rsidRPr="00ED4362" w:rsidRDefault="00BB5435" w:rsidP="00454318">
            <w:pPr>
              <w:jc w:val="center"/>
              <w:rPr>
                <w:rFonts w:ascii="Arial" w:eastAsia="Times New Roman" w:hAnsi="Arial" w:cs="Arial"/>
                <w:color w:val="000000"/>
                <w:sz w:val="18"/>
                <w:szCs w:val="18"/>
                <w:lang w:eastAsia="en-GB"/>
              </w:rPr>
            </w:pPr>
            <w:proofErr w:type="spellStart"/>
            <w:r w:rsidRPr="00ED4362">
              <w:rPr>
                <w:rFonts w:ascii="Arial" w:eastAsia="Times New Roman" w:hAnsi="Arial" w:cs="Arial"/>
                <w:color w:val="000000"/>
                <w:sz w:val="18"/>
                <w:szCs w:val="18"/>
                <w:lang w:eastAsia="en-GB"/>
              </w:rPr>
              <w:t>Mean</w:t>
            </w:r>
            <w:proofErr w:type="spellEnd"/>
          </w:p>
        </w:tc>
        <w:tc>
          <w:tcPr>
            <w:tcW w:w="1417" w:type="dxa"/>
            <w:tcBorders>
              <w:top w:val="single" w:sz="4" w:space="0" w:color="auto"/>
              <w:bottom w:val="single" w:sz="4" w:space="0" w:color="auto"/>
            </w:tcBorders>
            <w:shd w:val="clear" w:color="000000" w:fill="FFFFFF"/>
            <w:noWrap/>
            <w:vAlign w:val="bottom"/>
            <w:hideMark/>
          </w:tcPr>
          <w:p w14:paraId="729811F0" w14:textId="77777777" w:rsidR="00BB5435" w:rsidRPr="00ED4362" w:rsidRDefault="00BB5435" w:rsidP="00454318">
            <w:pPr>
              <w:jc w:val="center"/>
              <w:rPr>
                <w:rFonts w:ascii="Arial" w:eastAsia="Times New Roman" w:hAnsi="Arial" w:cs="Arial"/>
                <w:color w:val="000000"/>
                <w:sz w:val="18"/>
                <w:szCs w:val="18"/>
                <w:lang w:eastAsia="en-GB"/>
              </w:rPr>
            </w:pPr>
            <w:proofErr w:type="spellStart"/>
            <w:r w:rsidRPr="00ED4362">
              <w:rPr>
                <w:rFonts w:ascii="Arial" w:eastAsia="Times New Roman" w:hAnsi="Arial" w:cs="Arial"/>
                <w:color w:val="000000"/>
                <w:sz w:val="18"/>
                <w:szCs w:val="18"/>
                <w:lang w:eastAsia="en-GB"/>
              </w:rPr>
              <w:t>Std</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Deviation</w:t>
            </w:r>
            <w:proofErr w:type="spellEnd"/>
          </w:p>
        </w:tc>
      </w:tr>
      <w:tr w:rsidR="00BB5435" w:rsidRPr="00ED4362" w14:paraId="31F529A0" w14:textId="77777777" w:rsidTr="00454318">
        <w:trPr>
          <w:trHeight w:val="300"/>
        </w:trPr>
        <w:tc>
          <w:tcPr>
            <w:tcW w:w="3402" w:type="dxa"/>
            <w:tcBorders>
              <w:top w:val="single" w:sz="4" w:space="0" w:color="auto"/>
            </w:tcBorders>
            <w:shd w:val="clear" w:color="000000" w:fill="FFFFFF"/>
            <w:noWrap/>
            <w:vAlign w:val="bottom"/>
            <w:hideMark/>
          </w:tcPr>
          <w:p w14:paraId="2DFC0C8B"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xml:space="preserve">Direct IESR </w:t>
            </w:r>
            <w:proofErr w:type="spellStart"/>
            <w:r w:rsidRPr="00ED4362">
              <w:rPr>
                <w:rFonts w:ascii="Arial" w:eastAsia="Times New Roman" w:hAnsi="Arial" w:cs="Arial"/>
                <w:color w:val="000000"/>
                <w:sz w:val="18"/>
                <w:szCs w:val="18"/>
                <w:lang w:eastAsia="en-GB"/>
              </w:rPr>
              <w:t>Hyper</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Arousal</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Symptoms</w:t>
            </w:r>
            <w:proofErr w:type="spellEnd"/>
          </w:p>
        </w:tc>
        <w:tc>
          <w:tcPr>
            <w:tcW w:w="709" w:type="dxa"/>
            <w:tcBorders>
              <w:top w:val="single" w:sz="4" w:space="0" w:color="auto"/>
            </w:tcBorders>
            <w:shd w:val="clear" w:color="000000" w:fill="FFFFFF"/>
            <w:noWrap/>
            <w:vAlign w:val="bottom"/>
            <w:hideMark/>
          </w:tcPr>
          <w:p w14:paraId="3979F7AE"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1.18</w:t>
            </w:r>
          </w:p>
        </w:tc>
        <w:tc>
          <w:tcPr>
            <w:tcW w:w="1417" w:type="dxa"/>
            <w:tcBorders>
              <w:top w:val="single" w:sz="4" w:space="0" w:color="auto"/>
            </w:tcBorders>
            <w:shd w:val="clear" w:color="000000" w:fill="FFFFFF"/>
            <w:noWrap/>
            <w:vAlign w:val="bottom"/>
            <w:hideMark/>
          </w:tcPr>
          <w:p w14:paraId="171F971E"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0.68</w:t>
            </w:r>
          </w:p>
        </w:tc>
      </w:tr>
      <w:tr w:rsidR="00BB5435" w:rsidRPr="00ED4362" w14:paraId="20A30430" w14:textId="77777777" w:rsidTr="00454318">
        <w:trPr>
          <w:trHeight w:val="300"/>
        </w:trPr>
        <w:tc>
          <w:tcPr>
            <w:tcW w:w="3402" w:type="dxa"/>
            <w:shd w:val="clear" w:color="000000" w:fill="FFFFFF"/>
            <w:noWrap/>
            <w:vAlign w:val="bottom"/>
            <w:hideMark/>
          </w:tcPr>
          <w:p w14:paraId="254A9CCB"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xml:space="preserve">Direct IESR </w:t>
            </w:r>
            <w:proofErr w:type="spellStart"/>
            <w:r w:rsidRPr="00ED4362">
              <w:rPr>
                <w:rFonts w:ascii="Arial" w:eastAsia="Times New Roman" w:hAnsi="Arial" w:cs="Arial"/>
                <w:color w:val="000000"/>
                <w:sz w:val="18"/>
                <w:szCs w:val="18"/>
                <w:lang w:eastAsia="en-GB"/>
              </w:rPr>
              <w:t>Intrusion</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Symptoms</w:t>
            </w:r>
            <w:proofErr w:type="spellEnd"/>
          </w:p>
        </w:tc>
        <w:tc>
          <w:tcPr>
            <w:tcW w:w="709" w:type="dxa"/>
            <w:shd w:val="clear" w:color="000000" w:fill="FFFFFF"/>
            <w:noWrap/>
            <w:vAlign w:val="bottom"/>
            <w:hideMark/>
          </w:tcPr>
          <w:p w14:paraId="3A6DDE08"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1.21</w:t>
            </w:r>
          </w:p>
        </w:tc>
        <w:tc>
          <w:tcPr>
            <w:tcW w:w="1417" w:type="dxa"/>
            <w:shd w:val="clear" w:color="000000" w:fill="FFFFFF"/>
            <w:noWrap/>
            <w:vAlign w:val="bottom"/>
            <w:hideMark/>
          </w:tcPr>
          <w:p w14:paraId="23EB9AEC"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0.742</w:t>
            </w:r>
          </w:p>
        </w:tc>
      </w:tr>
      <w:tr w:rsidR="00BB5435" w:rsidRPr="00ED4362" w14:paraId="439F9795" w14:textId="77777777" w:rsidTr="00454318">
        <w:trPr>
          <w:trHeight w:val="300"/>
        </w:trPr>
        <w:tc>
          <w:tcPr>
            <w:tcW w:w="3402" w:type="dxa"/>
            <w:shd w:val="clear" w:color="000000" w:fill="FFFFFF"/>
            <w:noWrap/>
            <w:vAlign w:val="bottom"/>
            <w:hideMark/>
          </w:tcPr>
          <w:p w14:paraId="28E45E9C"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xml:space="preserve">Direct IESR </w:t>
            </w:r>
            <w:proofErr w:type="spellStart"/>
            <w:r w:rsidRPr="00ED4362">
              <w:rPr>
                <w:rFonts w:ascii="Arial" w:eastAsia="Times New Roman" w:hAnsi="Arial" w:cs="Arial"/>
                <w:color w:val="000000"/>
                <w:sz w:val="18"/>
                <w:szCs w:val="18"/>
                <w:lang w:eastAsia="en-GB"/>
              </w:rPr>
              <w:t>Avoidance</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Symptoms</w:t>
            </w:r>
            <w:proofErr w:type="spellEnd"/>
          </w:p>
        </w:tc>
        <w:tc>
          <w:tcPr>
            <w:tcW w:w="709" w:type="dxa"/>
            <w:shd w:val="clear" w:color="000000" w:fill="FFFFFF"/>
            <w:noWrap/>
            <w:vAlign w:val="bottom"/>
            <w:hideMark/>
          </w:tcPr>
          <w:p w14:paraId="5C0E50D9"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1.22</w:t>
            </w:r>
          </w:p>
        </w:tc>
        <w:tc>
          <w:tcPr>
            <w:tcW w:w="1417" w:type="dxa"/>
            <w:shd w:val="clear" w:color="000000" w:fill="FFFFFF"/>
            <w:noWrap/>
            <w:vAlign w:val="bottom"/>
            <w:hideMark/>
          </w:tcPr>
          <w:p w14:paraId="2C408E4B"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0.655</w:t>
            </w:r>
          </w:p>
        </w:tc>
      </w:tr>
      <w:tr w:rsidR="00BB5435" w:rsidRPr="00ED4362" w14:paraId="63C304C1" w14:textId="77777777" w:rsidTr="00454318">
        <w:trPr>
          <w:trHeight w:val="300"/>
        </w:trPr>
        <w:tc>
          <w:tcPr>
            <w:tcW w:w="3402" w:type="dxa"/>
            <w:shd w:val="clear" w:color="000000" w:fill="FFFFFF"/>
            <w:noWrap/>
            <w:vAlign w:val="bottom"/>
            <w:hideMark/>
          </w:tcPr>
          <w:p w14:paraId="5C86FBC7"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xml:space="preserve">Media IESR </w:t>
            </w:r>
            <w:proofErr w:type="spellStart"/>
            <w:r w:rsidRPr="00ED4362">
              <w:rPr>
                <w:rFonts w:ascii="Arial" w:eastAsia="Times New Roman" w:hAnsi="Arial" w:cs="Arial"/>
                <w:color w:val="000000"/>
                <w:sz w:val="18"/>
                <w:szCs w:val="18"/>
                <w:lang w:eastAsia="en-GB"/>
              </w:rPr>
              <w:t>Avoidance</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Symptoms</w:t>
            </w:r>
            <w:proofErr w:type="spellEnd"/>
          </w:p>
        </w:tc>
        <w:tc>
          <w:tcPr>
            <w:tcW w:w="709" w:type="dxa"/>
            <w:shd w:val="clear" w:color="000000" w:fill="FFFFFF"/>
            <w:noWrap/>
            <w:vAlign w:val="bottom"/>
            <w:hideMark/>
          </w:tcPr>
          <w:p w14:paraId="4175FA87"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1.35</w:t>
            </w:r>
          </w:p>
        </w:tc>
        <w:tc>
          <w:tcPr>
            <w:tcW w:w="1417" w:type="dxa"/>
            <w:shd w:val="clear" w:color="000000" w:fill="FFFFFF"/>
            <w:noWrap/>
            <w:vAlign w:val="bottom"/>
            <w:hideMark/>
          </w:tcPr>
          <w:p w14:paraId="6618E2D5"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0.395</w:t>
            </w:r>
          </w:p>
        </w:tc>
      </w:tr>
      <w:tr w:rsidR="00BB5435" w:rsidRPr="00ED4362" w14:paraId="36018F5C" w14:textId="77777777" w:rsidTr="00454318">
        <w:trPr>
          <w:trHeight w:val="300"/>
        </w:trPr>
        <w:tc>
          <w:tcPr>
            <w:tcW w:w="3402" w:type="dxa"/>
            <w:shd w:val="clear" w:color="000000" w:fill="FFFFFF"/>
            <w:noWrap/>
            <w:vAlign w:val="bottom"/>
            <w:hideMark/>
          </w:tcPr>
          <w:p w14:paraId="4B9A5839"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xml:space="preserve">Media IESR </w:t>
            </w:r>
            <w:proofErr w:type="spellStart"/>
            <w:r w:rsidRPr="00ED4362">
              <w:rPr>
                <w:rFonts w:ascii="Arial" w:eastAsia="Times New Roman" w:hAnsi="Arial" w:cs="Arial"/>
                <w:color w:val="000000"/>
                <w:sz w:val="18"/>
                <w:szCs w:val="18"/>
                <w:lang w:eastAsia="en-GB"/>
              </w:rPr>
              <w:t>Intrusion</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Symptoms</w:t>
            </w:r>
            <w:proofErr w:type="spellEnd"/>
          </w:p>
        </w:tc>
        <w:tc>
          <w:tcPr>
            <w:tcW w:w="709" w:type="dxa"/>
            <w:shd w:val="clear" w:color="000000" w:fill="FFFFFF"/>
            <w:noWrap/>
            <w:vAlign w:val="bottom"/>
            <w:hideMark/>
          </w:tcPr>
          <w:p w14:paraId="7B376310"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1.41</w:t>
            </w:r>
          </w:p>
        </w:tc>
        <w:tc>
          <w:tcPr>
            <w:tcW w:w="1417" w:type="dxa"/>
            <w:shd w:val="clear" w:color="000000" w:fill="FFFFFF"/>
            <w:noWrap/>
            <w:vAlign w:val="bottom"/>
            <w:hideMark/>
          </w:tcPr>
          <w:p w14:paraId="16E04D48"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0.521</w:t>
            </w:r>
          </w:p>
        </w:tc>
      </w:tr>
      <w:tr w:rsidR="00BB5435" w:rsidRPr="00ED4362" w14:paraId="2ED9D699" w14:textId="77777777" w:rsidTr="00454318">
        <w:trPr>
          <w:trHeight w:val="300"/>
        </w:trPr>
        <w:tc>
          <w:tcPr>
            <w:tcW w:w="3402" w:type="dxa"/>
            <w:shd w:val="clear" w:color="000000" w:fill="FFFFFF"/>
            <w:noWrap/>
            <w:vAlign w:val="bottom"/>
            <w:hideMark/>
          </w:tcPr>
          <w:p w14:paraId="74E58BD8"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xml:space="preserve">Media IESR </w:t>
            </w:r>
            <w:proofErr w:type="spellStart"/>
            <w:r w:rsidRPr="00ED4362">
              <w:rPr>
                <w:rFonts w:ascii="Arial" w:eastAsia="Times New Roman" w:hAnsi="Arial" w:cs="Arial"/>
                <w:color w:val="000000"/>
                <w:sz w:val="18"/>
                <w:szCs w:val="18"/>
                <w:lang w:eastAsia="en-GB"/>
              </w:rPr>
              <w:t>Hyper</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Arousal</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Symptoms</w:t>
            </w:r>
            <w:proofErr w:type="spellEnd"/>
          </w:p>
        </w:tc>
        <w:tc>
          <w:tcPr>
            <w:tcW w:w="709" w:type="dxa"/>
            <w:shd w:val="clear" w:color="000000" w:fill="FFFFFF"/>
            <w:noWrap/>
            <w:vAlign w:val="bottom"/>
            <w:hideMark/>
          </w:tcPr>
          <w:p w14:paraId="2532CBFD"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1.42</w:t>
            </w:r>
          </w:p>
        </w:tc>
        <w:tc>
          <w:tcPr>
            <w:tcW w:w="1417" w:type="dxa"/>
            <w:shd w:val="clear" w:color="000000" w:fill="FFFFFF"/>
            <w:noWrap/>
            <w:vAlign w:val="bottom"/>
            <w:hideMark/>
          </w:tcPr>
          <w:p w14:paraId="28C87FC1"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0.498</w:t>
            </w:r>
          </w:p>
        </w:tc>
      </w:tr>
      <w:tr w:rsidR="00BB5435" w:rsidRPr="00ED4362" w14:paraId="2D878C80" w14:textId="77777777" w:rsidTr="00454318">
        <w:trPr>
          <w:trHeight w:val="300"/>
        </w:trPr>
        <w:tc>
          <w:tcPr>
            <w:tcW w:w="3402" w:type="dxa"/>
            <w:shd w:val="clear" w:color="000000" w:fill="FFFFFF"/>
            <w:noWrap/>
            <w:vAlign w:val="bottom"/>
            <w:hideMark/>
          </w:tcPr>
          <w:p w14:paraId="760A69FF"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xml:space="preserve">Media </w:t>
            </w:r>
            <w:proofErr w:type="spellStart"/>
            <w:r w:rsidRPr="00ED4362">
              <w:rPr>
                <w:rFonts w:ascii="Arial" w:eastAsia="Times New Roman" w:hAnsi="Arial" w:cs="Arial"/>
                <w:color w:val="000000"/>
                <w:sz w:val="18"/>
                <w:szCs w:val="18"/>
                <w:lang w:eastAsia="en-GB"/>
              </w:rPr>
              <w:t>Trauma</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Exposure</w:t>
            </w:r>
            <w:proofErr w:type="spellEnd"/>
            <w:r w:rsidRPr="00ED4362">
              <w:rPr>
                <w:rFonts w:ascii="Arial" w:eastAsia="Times New Roman" w:hAnsi="Arial" w:cs="Arial"/>
                <w:color w:val="000000"/>
                <w:sz w:val="18"/>
                <w:szCs w:val="18"/>
                <w:lang w:eastAsia="en-GB"/>
              </w:rPr>
              <w:t xml:space="preserve"> </w:t>
            </w:r>
            <w:proofErr w:type="spellStart"/>
            <w:r w:rsidRPr="00ED4362">
              <w:rPr>
                <w:rFonts w:ascii="Arial" w:eastAsia="Times New Roman" w:hAnsi="Arial" w:cs="Arial"/>
                <w:color w:val="000000"/>
                <w:sz w:val="18"/>
                <w:szCs w:val="18"/>
                <w:lang w:eastAsia="en-GB"/>
              </w:rPr>
              <w:t>Frequency</w:t>
            </w:r>
            <w:proofErr w:type="spellEnd"/>
          </w:p>
        </w:tc>
        <w:tc>
          <w:tcPr>
            <w:tcW w:w="709" w:type="dxa"/>
            <w:shd w:val="clear" w:color="000000" w:fill="FFFFFF"/>
            <w:noWrap/>
            <w:vAlign w:val="bottom"/>
            <w:hideMark/>
          </w:tcPr>
          <w:p w14:paraId="0891413E"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1.98</w:t>
            </w:r>
          </w:p>
        </w:tc>
        <w:tc>
          <w:tcPr>
            <w:tcW w:w="1417" w:type="dxa"/>
            <w:shd w:val="clear" w:color="000000" w:fill="FFFFFF"/>
            <w:noWrap/>
            <w:vAlign w:val="bottom"/>
            <w:hideMark/>
          </w:tcPr>
          <w:p w14:paraId="4780A6B0"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1.16</w:t>
            </w:r>
          </w:p>
        </w:tc>
      </w:tr>
      <w:tr w:rsidR="00BB5435" w:rsidRPr="00ED4362" w14:paraId="7990397B" w14:textId="77777777" w:rsidTr="00454318">
        <w:trPr>
          <w:trHeight w:val="300"/>
        </w:trPr>
        <w:tc>
          <w:tcPr>
            <w:tcW w:w="3402" w:type="dxa"/>
            <w:shd w:val="clear" w:color="000000" w:fill="FFFFFF"/>
            <w:noWrap/>
            <w:vAlign w:val="bottom"/>
            <w:hideMark/>
          </w:tcPr>
          <w:p w14:paraId="4425C6D1"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xml:space="preserve">Direct IESR Total </w:t>
            </w:r>
            <w:proofErr w:type="spellStart"/>
            <w:r w:rsidRPr="00ED4362">
              <w:rPr>
                <w:rFonts w:ascii="Arial" w:eastAsia="Times New Roman" w:hAnsi="Arial" w:cs="Arial"/>
                <w:color w:val="000000"/>
                <w:sz w:val="18"/>
                <w:szCs w:val="18"/>
                <w:lang w:eastAsia="en-GB"/>
              </w:rPr>
              <w:t>Score</w:t>
            </w:r>
            <w:proofErr w:type="spellEnd"/>
          </w:p>
        </w:tc>
        <w:tc>
          <w:tcPr>
            <w:tcW w:w="709" w:type="dxa"/>
            <w:shd w:val="clear" w:color="000000" w:fill="FFFFFF"/>
            <w:noWrap/>
            <w:vAlign w:val="bottom"/>
            <w:hideMark/>
          </w:tcPr>
          <w:p w14:paraId="7849223B"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26.49</w:t>
            </w:r>
          </w:p>
        </w:tc>
        <w:tc>
          <w:tcPr>
            <w:tcW w:w="1417" w:type="dxa"/>
            <w:shd w:val="clear" w:color="000000" w:fill="FFFFFF"/>
            <w:noWrap/>
            <w:vAlign w:val="bottom"/>
            <w:hideMark/>
          </w:tcPr>
          <w:p w14:paraId="28B31743"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14.419</w:t>
            </w:r>
          </w:p>
        </w:tc>
      </w:tr>
      <w:tr w:rsidR="00BB5435" w:rsidRPr="00ED4362" w14:paraId="1A1048FE" w14:textId="77777777" w:rsidTr="00454318">
        <w:trPr>
          <w:trHeight w:val="300"/>
        </w:trPr>
        <w:tc>
          <w:tcPr>
            <w:tcW w:w="3402" w:type="dxa"/>
            <w:shd w:val="clear" w:color="000000" w:fill="FFFFFF"/>
            <w:noWrap/>
            <w:vAlign w:val="bottom"/>
            <w:hideMark/>
          </w:tcPr>
          <w:p w14:paraId="2CFA2337"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xml:space="preserve">Media IESR Total </w:t>
            </w:r>
            <w:proofErr w:type="spellStart"/>
            <w:r w:rsidRPr="00ED4362">
              <w:rPr>
                <w:rFonts w:ascii="Arial" w:eastAsia="Times New Roman" w:hAnsi="Arial" w:cs="Arial"/>
                <w:color w:val="000000"/>
                <w:sz w:val="18"/>
                <w:szCs w:val="18"/>
                <w:lang w:eastAsia="en-GB"/>
              </w:rPr>
              <w:t>Score</w:t>
            </w:r>
            <w:proofErr w:type="spellEnd"/>
          </w:p>
        </w:tc>
        <w:tc>
          <w:tcPr>
            <w:tcW w:w="709" w:type="dxa"/>
            <w:shd w:val="clear" w:color="000000" w:fill="FFFFFF"/>
            <w:noWrap/>
            <w:vAlign w:val="bottom"/>
            <w:hideMark/>
          </w:tcPr>
          <w:p w14:paraId="1325AE74"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30.6</w:t>
            </w:r>
          </w:p>
        </w:tc>
        <w:tc>
          <w:tcPr>
            <w:tcW w:w="1417" w:type="dxa"/>
            <w:shd w:val="clear" w:color="000000" w:fill="FFFFFF"/>
            <w:noWrap/>
            <w:vAlign w:val="bottom"/>
            <w:hideMark/>
          </w:tcPr>
          <w:p w14:paraId="27A257D5"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8.959</w:t>
            </w:r>
          </w:p>
        </w:tc>
      </w:tr>
      <w:tr w:rsidR="00BB5435" w:rsidRPr="00ED4362" w14:paraId="5AA777E6" w14:textId="77777777" w:rsidTr="00454318">
        <w:trPr>
          <w:trHeight w:val="300"/>
        </w:trPr>
        <w:tc>
          <w:tcPr>
            <w:tcW w:w="3402" w:type="dxa"/>
            <w:shd w:val="clear" w:color="000000" w:fill="FFFFFF"/>
            <w:noWrap/>
            <w:vAlign w:val="bottom"/>
            <w:hideMark/>
          </w:tcPr>
          <w:p w14:paraId="7DCCFE1A"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Age</w:t>
            </w:r>
          </w:p>
        </w:tc>
        <w:tc>
          <w:tcPr>
            <w:tcW w:w="709" w:type="dxa"/>
            <w:shd w:val="clear" w:color="000000" w:fill="FFFFFF"/>
            <w:noWrap/>
            <w:vAlign w:val="bottom"/>
            <w:hideMark/>
          </w:tcPr>
          <w:p w14:paraId="3C3D36BD"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31.55</w:t>
            </w:r>
          </w:p>
        </w:tc>
        <w:tc>
          <w:tcPr>
            <w:tcW w:w="1417" w:type="dxa"/>
            <w:shd w:val="clear" w:color="000000" w:fill="FFFFFF"/>
            <w:noWrap/>
            <w:vAlign w:val="bottom"/>
            <w:hideMark/>
          </w:tcPr>
          <w:p w14:paraId="1369BDEA"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11.91</w:t>
            </w:r>
          </w:p>
        </w:tc>
      </w:tr>
      <w:tr w:rsidR="00BB5435" w:rsidRPr="00ED4362" w14:paraId="26E68539" w14:textId="77777777" w:rsidTr="00454318">
        <w:trPr>
          <w:trHeight w:val="300"/>
        </w:trPr>
        <w:tc>
          <w:tcPr>
            <w:tcW w:w="3402" w:type="dxa"/>
            <w:shd w:val="clear" w:color="000000" w:fill="FFFFFF"/>
            <w:noWrap/>
            <w:vAlign w:val="bottom"/>
            <w:hideMark/>
          </w:tcPr>
          <w:p w14:paraId="65AF8DBE"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xml:space="preserve">PTSD </w:t>
            </w:r>
            <w:proofErr w:type="spellStart"/>
            <w:r w:rsidRPr="00ED4362">
              <w:rPr>
                <w:rFonts w:ascii="Arial" w:eastAsia="Times New Roman" w:hAnsi="Arial" w:cs="Arial"/>
                <w:color w:val="000000"/>
                <w:sz w:val="18"/>
                <w:szCs w:val="18"/>
                <w:lang w:eastAsia="en-GB"/>
              </w:rPr>
              <w:t>Checklist</w:t>
            </w:r>
            <w:proofErr w:type="spellEnd"/>
            <w:r w:rsidRPr="00ED4362">
              <w:rPr>
                <w:rFonts w:ascii="Arial" w:eastAsia="Times New Roman" w:hAnsi="Arial" w:cs="Arial"/>
                <w:color w:val="000000"/>
                <w:sz w:val="18"/>
                <w:szCs w:val="18"/>
                <w:lang w:eastAsia="en-GB"/>
              </w:rPr>
              <w:t xml:space="preserve"> Total </w:t>
            </w:r>
            <w:proofErr w:type="spellStart"/>
            <w:r w:rsidRPr="00ED4362">
              <w:rPr>
                <w:rFonts w:ascii="Arial" w:eastAsia="Times New Roman" w:hAnsi="Arial" w:cs="Arial"/>
                <w:color w:val="000000"/>
                <w:sz w:val="18"/>
                <w:szCs w:val="18"/>
                <w:lang w:eastAsia="en-GB"/>
              </w:rPr>
              <w:t>Score</w:t>
            </w:r>
            <w:proofErr w:type="spellEnd"/>
            <w:r w:rsidRPr="00ED4362">
              <w:rPr>
                <w:rFonts w:ascii="Arial" w:eastAsia="Times New Roman" w:hAnsi="Arial" w:cs="Arial"/>
                <w:color w:val="000000"/>
                <w:sz w:val="18"/>
                <w:szCs w:val="18"/>
                <w:lang w:eastAsia="en-GB"/>
              </w:rPr>
              <w:t xml:space="preserve"> (PCL-5)</w:t>
            </w:r>
          </w:p>
        </w:tc>
        <w:tc>
          <w:tcPr>
            <w:tcW w:w="709" w:type="dxa"/>
            <w:shd w:val="clear" w:color="000000" w:fill="FFFFFF"/>
            <w:noWrap/>
            <w:vAlign w:val="bottom"/>
            <w:hideMark/>
          </w:tcPr>
          <w:p w14:paraId="1ADD8E0A"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32.25</w:t>
            </w:r>
          </w:p>
        </w:tc>
        <w:tc>
          <w:tcPr>
            <w:tcW w:w="1417" w:type="dxa"/>
            <w:shd w:val="clear" w:color="000000" w:fill="FFFFFF"/>
            <w:noWrap/>
            <w:vAlign w:val="bottom"/>
            <w:hideMark/>
          </w:tcPr>
          <w:p w14:paraId="409ECB35" w14:textId="77777777" w:rsidR="00BB5435" w:rsidRPr="00ED4362" w:rsidRDefault="00BB5435" w:rsidP="00454318">
            <w:pPr>
              <w:jc w:val="right"/>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18.913</w:t>
            </w:r>
          </w:p>
        </w:tc>
      </w:tr>
      <w:tr w:rsidR="00BB5435" w:rsidRPr="00ED4362" w14:paraId="04440550" w14:textId="77777777" w:rsidTr="00454318">
        <w:trPr>
          <w:trHeight w:val="320"/>
        </w:trPr>
        <w:tc>
          <w:tcPr>
            <w:tcW w:w="3402" w:type="dxa"/>
            <w:tcBorders>
              <w:bottom w:val="single" w:sz="4" w:space="0" w:color="auto"/>
            </w:tcBorders>
            <w:shd w:val="clear" w:color="000000" w:fill="FFFFFF"/>
            <w:noWrap/>
            <w:vAlign w:val="bottom"/>
            <w:hideMark/>
          </w:tcPr>
          <w:p w14:paraId="7491B4CB" w14:textId="77777777" w:rsidR="00BB5435" w:rsidRPr="00ED4362" w:rsidRDefault="00BB5435" w:rsidP="00454318">
            <w:pPr>
              <w:rPr>
                <w:rFonts w:ascii="Arial" w:eastAsia="Times New Roman" w:hAnsi="Arial" w:cs="Arial"/>
                <w:color w:val="000000"/>
                <w:sz w:val="18"/>
                <w:szCs w:val="18"/>
                <w:lang w:eastAsia="en-GB"/>
              </w:rPr>
            </w:pPr>
            <w:proofErr w:type="spellStart"/>
            <w:r w:rsidRPr="00ED4362">
              <w:rPr>
                <w:rFonts w:ascii="Arial" w:eastAsia="Times New Roman" w:hAnsi="Arial" w:cs="Arial"/>
                <w:color w:val="000000"/>
                <w:sz w:val="18"/>
                <w:szCs w:val="18"/>
                <w:lang w:eastAsia="en-GB"/>
              </w:rPr>
              <w:t>Valid</w:t>
            </w:r>
            <w:proofErr w:type="spellEnd"/>
            <w:r w:rsidRPr="00ED4362">
              <w:rPr>
                <w:rFonts w:ascii="Arial" w:eastAsia="Times New Roman" w:hAnsi="Arial" w:cs="Arial"/>
                <w:color w:val="000000"/>
                <w:sz w:val="18"/>
                <w:szCs w:val="18"/>
                <w:lang w:eastAsia="en-GB"/>
              </w:rPr>
              <w:t xml:space="preserve"> N (</w:t>
            </w:r>
            <w:proofErr w:type="spellStart"/>
            <w:r w:rsidRPr="00ED4362">
              <w:rPr>
                <w:rFonts w:ascii="Arial" w:eastAsia="Times New Roman" w:hAnsi="Arial" w:cs="Arial"/>
                <w:color w:val="000000"/>
                <w:sz w:val="18"/>
                <w:szCs w:val="18"/>
                <w:lang w:eastAsia="en-GB"/>
              </w:rPr>
              <w:t>listwise</w:t>
            </w:r>
            <w:proofErr w:type="spellEnd"/>
            <w:r w:rsidRPr="00ED4362">
              <w:rPr>
                <w:rFonts w:ascii="Arial" w:eastAsia="Times New Roman" w:hAnsi="Arial" w:cs="Arial"/>
                <w:color w:val="000000"/>
                <w:sz w:val="18"/>
                <w:szCs w:val="18"/>
                <w:lang w:eastAsia="en-GB"/>
              </w:rPr>
              <w:t>)</w:t>
            </w:r>
          </w:p>
        </w:tc>
        <w:tc>
          <w:tcPr>
            <w:tcW w:w="709" w:type="dxa"/>
            <w:tcBorders>
              <w:bottom w:val="single" w:sz="4" w:space="0" w:color="auto"/>
            </w:tcBorders>
            <w:shd w:val="clear" w:color="000000" w:fill="FFFFFF"/>
            <w:noWrap/>
            <w:vAlign w:val="bottom"/>
            <w:hideMark/>
          </w:tcPr>
          <w:p w14:paraId="14D1CED4"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w:t>
            </w:r>
          </w:p>
        </w:tc>
        <w:tc>
          <w:tcPr>
            <w:tcW w:w="1417" w:type="dxa"/>
            <w:tcBorders>
              <w:bottom w:val="single" w:sz="4" w:space="0" w:color="auto"/>
            </w:tcBorders>
            <w:shd w:val="clear" w:color="000000" w:fill="FFFFFF"/>
            <w:noWrap/>
            <w:vAlign w:val="bottom"/>
            <w:hideMark/>
          </w:tcPr>
          <w:p w14:paraId="4FF850E3" w14:textId="77777777" w:rsidR="00BB5435" w:rsidRPr="00ED4362" w:rsidRDefault="00BB5435" w:rsidP="00454318">
            <w:pPr>
              <w:rPr>
                <w:rFonts w:ascii="Arial" w:eastAsia="Times New Roman" w:hAnsi="Arial" w:cs="Arial"/>
                <w:color w:val="000000"/>
                <w:sz w:val="18"/>
                <w:szCs w:val="18"/>
                <w:lang w:eastAsia="en-GB"/>
              </w:rPr>
            </w:pPr>
            <w:r w:rsidRPr="00ED4362">
              <w:rPr>
                <w:rFonts w:ascii="Arial" w:eastAsia="Times New Roman" w:hAnsi="Arial" w:cs="Arial"/>
                <w:color w:val="000000"/>
                <w:sz w:val="18"/>
                <w:szCs w:val="18"/>
                <w:lang w:eastAsia="en-GB"/>
              </w:rPr>
              <w:t> </w:t>
            </w:r>
          </w:p>
        </w:tc>
      </w:tr>
    </w:tbl>
    <w:p w14:paraId="19A4AA17" w14:textId="1C776456" w:rsidR="00B54325" w:rsidRDefault="00B54325"/>
    <w:p w14:paraId="2B50F390" w14:textId="77777777" w:rsidR="00BB5435" w:rsidRDefault="00BB5435"/>
    <w:p w14:paraId="60B8D338" w14:textId="22947F4E" w:rsidR="00B54325" w:rsidRDefault="00B54325" w:rsidP="00B54325">
      <w:proofErr w:type="spellStart"/>
      <w:r>
        <w:t>All</w:t>
      </w:r>
      <w:proofErr w:type="spellEnd"/>
      <w:r>
        <w:t xml:space="preserve"> </w:t>
      </w:r>
      <w:proofErr w:type="spellStart"/>
      <w:r>
        <w:t>the</w:t>
      </w:r>
      <w:proofErr w:type="spellEnd"/>
      <w:r>
        <w:t xml:space="preserve"> </w:t>
      </w:r>
      <w:proofErr w:type="spellStart"/>
      <w:r>
        <w:t>variables</w:t>
      </w:r>
      <w:proofErr w:type="spellEnd"/>
      <w:r>
        <w:t xml:space="preserve"> </w:t>
      </w:r>
      <w:proofErr w:type="spellStart"/>
      <w:r>
        <w:t>taken</w:t>
      </w:r>
      <w:proofErr w:type="spellEnd"/>
      <w:r>
        <w:t xml:space="preserve"> </w:t>
      </w:r>
      <w:proofErr w:type="spellStart"/>
      <w:r>
        <w:t>together</w:t>
      </w:r>
      <w:proofErr w:type="spellEnd"/>
      <w:r>
        <w:t xml:space="preserve"> </w:t>
      </w:r>
      <w:proofErr w:type="spellStart"/>
      <w:r>
        <w:t>explained</w:t>
      </w:r>
      <w:proofErr w:type="spellEnd"/>
      <w:r>
        <w:t xml:space="preserve"> </w:t>
      </w:r>
      <w:proofErr w:type="spellStart"/>
      <w:r>
        <w:t>almost</w:t>
      </w:r>
      <w:proofErr w:type="spellEnd"/>
      <w:r>
        <w:t xml:space="preserve"> 40% of </w:t>
      </w:r>
      <w:proofErr w:type="spellStart"/>
      <w:r>
        <w:t>the</w:t>
      </w:r>
      <w:proofErr w:type="spellEnd"/>
      <w:r>
        <w:t xml:space="preserve"> </w:t>
      </w:r>
      <w:proofErr w:type="spellStart"/>
      <w:r>
        <w:t>variability</w:t>
      </w:r>
      <w:proofErr w:type="spellEnd"/>
      <w:r>
        <w:t xml:space="preserve"> of </w:t>
      </w:r>
      <w:proofErr w:type="spellStart"/>
      <w:r>
        <w:t>the</w:t>
      </w:r>
      <w:proofErr w:type="spellEnd"/>
      <w:r>
        <w:t xml:space="preserve"> PTSD </w:t>
      </w:r>
      <w:proofErr w:type="spellStart"/>
      <w:r>
        <w:t>checklist</w:t>
      </w:r>
      <w:proofErr w:type="spellEnd"/>
      <w:r>
        <w:t xml:space="preserve"> total </w:t>
      </w:r>
      <w:proofErr w:type="spellStart"/>
      <w:r>
        <w:t>score</w:t>
      </w:r>
      <w:proofErr w:type="spellEnd"/>
      <w:r>
        <w:t xml:space="preserve"> (R2 = 0.396) Media IESR </w:t>
      </w:r>
      <w:proofErr w:type="spellStart"/>
      <w:r>
        <w:t>Intrusion</w:t>
      </w:r>
      <w:proofErr w:type="spellEnd"/>
      <w:r>
        <w:t xml:space="preserve"> </w:t>
      </w:r>
      <w:proofErr w:type="spellStart"/>
      <w:r>
        <w:t>Symptoms</w:t>
      </w:r>
      <w:proofErr w:type="spellEnd"/>
      <w:r>
        <w:t xml:space="preserve"> </w:t>
      </w:r>
      <w:proofErr w:type="spellStart"/>
      <w:r>
        <w:t>significantly</w:t>
      </w:r>
      <w:proofErr w:type="spellEnd"/>
      <w:r>
        <w:t xml:space="preserve"> </w:t>
      </w:r>
      <w:proofErr w:type="spellStart"/>
      <w:r>
        <w:t>predicted</w:t>
      </w:r>
      <w:proofErr w:type="spellEnd"/>
      <w:r>
        <w:t xml:space="preserve"> PCL-5 </w:t>
      </w:r>
      <w:proofErr w:type="spellStart"/>
      <w:r>
        <w:t>Scores</w:t>
      </w:r>
      <w:proofErr w:type="spellEnd"/>
      <w:r>
        <w:t xml:space="preserve"> (p=0.018, B=15.08). </w:t>
      </w:r>
      <w:proofErr w:type="spellStart"/>
      <w:r>
        <w:t>Relationship</w:t>
      </w:r>
      <w:proofErr w:type="spellEnd"/>
      <w:r>
        <w:t xml:space="preserve"> </w:t>
      </w:r>
      <w:proofErr w:type="spellStart"/>
      <w:r>
        <w:t>with</w:t>
      </w:r>
      <w:proofErr w:type="spellEnd"/>
      <w:r>
        <w:t xml:space="preserve"> </w:t>
      </w:r>
      <w:proofErr w:type="spellStart"/>
      <w:r>
        <w:t>the</w:t>
      </w:r>
      <w:proofErr w:type="spellEnd"/>
      <w:r>
        <w:t xml:space="preserve"> </w:t>
      </w:r>
      <w:proofErr w:type="spellStart"/>
      <w:r>
        <w:t>other</w:t>
      </w:r>
      <w:proofErr w:type="spellEnd"/>
      <w:r>
        <w:t xml:space="preserve"> </w:t>
      </w:r>
      <w:proofErr w:type="spellStart"/>
      <w:r>
        <w:t>predictors</w:t>
      </w:r>
      <w:proofErr w:type="spellEnd"/>
      <w:r>
        <w:t xml:space="preserve"> </w:t>
      </w:r>
      <w:proofErr w:type="spellStart"/>
      <w:r>
        <w:t>was</w:t>
      </w:r>
      <w:proofErr w:type="spellEnd"/>
      <w:r>
        <w:t xml:space="preserve"> not </w:t>
      </w:r>
      <w:proofErr w:type="spellStart"/>
      <w:r>
        <w:t>significant</w:t>
      </w:r>
      <w:proofErr w:type="spellEnd"/>
      <w:r>
        <w:t>.</w:t>
      </w:r>
    </w:p>
    <w:p w14:paraId="35E49D5E" w14:textId="77777777" w:rsidR="00B54325" w:rsidRDefault="00B54325" w:rsidP="00B54325"/>
    <w:p w14:paraId="2621F716" w14:textId="4952985D" w:rsidR="00B54325" w:rsidRDefault="00B54325" w:rsidP="00B54325">
      <w:pPr>
        <w:rPr>
          <w:u w:val="single"/>
          <w:lang w:val="en-US"/>
        </w:rPr>
      </w:pPr>
      <w:r w:rsidRPr="00B54325">
        <w:rPr>
          <w:u w:val="single"/>
          <w:lang w:val="en-US"/>
        </w:rPr>
        <w:t>CONCLUSIONS</w:t>
      </w:r>
    </w:p>
    <w:p w14:paraId="00ABFAE3" w14:textId="60C482D2" w:rsidR="00B54325" w:rsidRDefault="00B54325" w:rsidP="00B54325">
      <w:pPr>
        <w:rPr>
          <w:u w:val="single"/>
          <w:lang w:val="en-US"/>
        </w:rPr>
      </w:pPr>
    </w:p>
    <w:p w14:paraId="4157B86A" w14:textId="77777777" w:rsidR="00B54325" w:rsidRPr="00B54325" w:rsidRDefault="00B54325" w:rsidP="00B54325">
      <w:pPr>
        <w:numPr>
          <w:ilvl w:val="0"/>
          <w:numId w:val="3"/>
        </w:numPr>
        <w:rPr>
          <w:lang w:val="en-GR"/>
        </w:rPr>
      </w:pPr>
      <w:r w:rsidRPr="00B54325">
        <w:rPr>
          <w:lang w:val="en-GB"/>
        </w:rPr>
        <w:t xml:space="preserve">Traumatic social media posts, videos, articles, tv shows, news, newspapers articles produced significant post-traumatic symptoms. </w:t>
      </w:r>
    </w:p>
    <w:p w14:paraId="5D4A8942" w14:textId="77777777" w:rsidR="00B54325" w:rsidRPr="00B54325" w:rsidRDefault="00B54325" w:rsidP="00B54325">
      <w:pPr>
        <w:numPr>
          <w:ilvl w:val="0"/>
          <w:numId w:val="3"/>
        </w:numPr>
        <w:rPr>
          <w:lang w:val="en-GR"/>
        </w:rPr>
      </w:pPr>
      <w:r w:rsidRPr="00B54325">
        <w:rPr>
          <w:lang w:val="en-GB"/>
        </w:rPr>
        <w:t xml:space="preserve">Multiple media exposure (separate events) had no significant effect on symptom severity. </w:t>
      </w:r>
    </w:p>
    <w:p w14:paraId="0F807F26" w14:textId="77777777" w:rsidR="00B54325" w:rsidRPr="00B54325" w:rsidRDefault="00B54325" w:rsidP="00B54325">
      <w:pPr>
        <w:numPr>
          <w:ilvl w:val="0"/>
          <w:numId w:val="3"/>
        </w:numPr>
        <w:rPr>
          <w:lang w:val="en-GR"/>
        </w:rPr>
      </w:pPr>
      <w:r w:rsidRPr="00B54325">
        <w:rPr>
          <w:lang w:val="en-GB"/>
        </w:rPr>
        <w:t>This study offers further evidence towards the inclusion of media-induced secondary trauma into the future versions of the DSM.</w:t>
      </w:r>
    </w:p>
    <w:p w14:paraId="6DDBA082" w14:textId="77777777" w:rsidR="00B54325" w:rsidRPr="00B54325" w:rsidRDefault="00B54325" w:rsidP="00B54325">
      <w:pPr>
        <w:rPr>
          <w:lang w:val="en-GR"/>
        </w:rPr>
      </w:pPr>
    </w:p>
    <w:p w14:paraId="36E49DF3" w14:textId="6162D132" w:rsidR="00B54325" w:rsidRPr="00B54325" w:rsidRDefault="00B54325">
      <w:pPr>
        <w:rPr>
          <w:lang w:val="en-GR"/>
        </w:rPr>
      </w:pPr>
      <w:r w:rsidRPr="00B54325">
        <w:rPr>
          <w:u w:val="single"/>
          <w:lang w:val="en-GR"/>
        </w:rPr>
        <w:t>REFERENCES</w:t>
      </w:r>
    </w:p>
    <w:p w14:paraId="4EA59E85" w14:textId="77777777" w:rsidR="00B54325" w:rsidRDefault="00B54325"/>
    <w:p w14:paraId="1D8B1842" w14:textId="77777777" w:rsidR="00B54325" w:rsidRPr="00B54325" w:rsidRDefault="00B54325" w:rsidP="00B54325">
      <w:pPr>
        <w:ind w:firstLine="720"/>
        <w:rPr>
          <w:lang w:val="en-GR"/>
        </w:rPr>
      </w:pPr>
      <w:r w:rsidRPr="00B54325">
        <w:rPr>
          <w:lang w:val="en-GB"/>
        </w:rPr>
        <w:t xml:space="preserve">Ahern, J., Sandro Galea MD, D., MPH, Resnick, H., &amp; </w:t>
      </w:r>
      <w:proofErr w:type="spellStart"/>
      <w:r w:rsidRPr="00B54325">
        <w:rPr>
          <w:lang w:val="en-GB"/>
        </w:rPr>
        <w:t>Vlahov</w:t>
      </w:r>
      <w:proofErr w:type="spellEnd"/>
      <w:r w:rsidRPr="00B54325">
        <w:rPr>
          <w:lang w:val="en-GB"/>
        </w:rPr>
        <w:t xml:space="preserve">, D. (2004). Television Watching and Mental Health in the General Population of New York City After September 11. Journal of Aggression, Maltreatment &amp; Trauma, 9(1–2), 109–124. </w:t>
      </w:r>
    </w:p>
    <w:p w14:paraId="60DF27C2" w14:textId="77777777" w:rsidR="00B54325" w:rsidRDefault="00B54325" w:rsidP="00B54325">
      <w:pPr>
        <w:rPr>
          <w:lang w:val="en-GB"/>
        </w:rPr>
      </w:pPr>
    </w:p>
    <w:p w14:paraId="7C2E5AC3" w14:textId="2C29F66B" w:rsidR="00B54325" w:rsidRPr="00B54325" w:rsidRDefault="00B54325" w:rsidP="00B54325">
      <w:pPr>
        <w:ind w:firstLine="720"/>
        <w:rPr>
          <w:lang w:val="en-GR"/>
        </w:rPr>
      </w:pPr>
      <w:r w:rsidRPr="00B54325">
        <w:rPr>
          <w:lang w:val="en-GB"/>
        </w:rPr>
        <w:t>APA (Ed.). (2013). Diagnostic and statistical manual of mental disorders V (5th ed). American Psychiatric Association.</w:t>
      </w:r>
    </w:p>
    <w:p w14:paraId="1C16FC2F" w14:textId="77777777" w:rsidR="00B54325" w:rsidRDefault="00B54325" w:rsidP="00B54325">
      <w:pPr>
        <w:rPr>
          <w:lang w:val="en-GB"/>
        </w:rPr>
      </w:pPr>
    </w:p>
    <w:p w14:paraId="195CF349" w14:textId="6C0522DA" w:rsidR="00B54325" w:rsidRPr="00B54325" w:rsidRDefault="00B54325" w:rsidP="00B54325">
      <w:pPr>
        <w:ind w:firstLine="720"/>
        <w:rPr>
          <w:lang w:val="en-GR"/>
        </w:rPr>
      </w:pPr>
      <w:r w:rsidRPr="00B54325">
        <w:rPr>
          <w:lang w:val="en-GB"/>
        </w:rPr>
        <w:t xml:space="preserve">Bal, A. (2008). Post-Traumatic Stress Disorder in Turkish Child and Adolescent Survivors Three Years after the Marmara Earthquake. Child and Adolescent Mental Health, 13(3), 134–139. </w:t>
      </w:r>
    </w:p>
    <w:p w14:paraId="12C446AA" w14:textId="77777777" w:rsidR="00B54325" w:rsidRDefault="00B54325" w:rsidP="00B54325">
      <w:pPr>
        <w:rPr>
          <w:lang w:val="en-GB"/>
        </w:rPr>
      </w:pPr>
    </w:p>
    <w:p w14:paraId="1DEE0885" w14:textId="043F7DA8" w:rsidR="00B54325" w:rsidRPr="00B54325" w:rsidRDefault="00B54325" w:rsidP="00B54325">
      <w:pPr>
        <w:ind w:firstLine="720"/>
        <w:rPr>
          <w:lang w:val="en-GR"/>
        </w:rPr>
      </w:pPr>
      <w:proofErr w:type="spellStart"/>
      <w:r w:rsidRPr="00B54325">
        <w:rPr>
          <w:lang w:val="en-GB"/>
        </w:rPr>
        <w:t>Deroma</w:t>
      </w:r>
      <w:proofErr w:type="spellEnd"/>
      <w:r w:rsidRPr="00B54325">
        <w:rPr>
          <w:lang w:val="en-GB"/>
        </w:rPr>
        <w:t xml:space="preserve">, V., Saylor, C., </w:t>
      </w:r>
      <w:proofErr w:type="spellStart"/>
      <w:r w:rsidRPr="00B54325">
        <w:rPr>
          <w:lang w:val="en-GB"/>
        </w:rPr>
        <w:t>Swickert</w:t>
      </w:r>
      <w:proofErr w:type="spellEnd"/>
      <w:r w:rsidRPr="00B54325">
        <w:rPr>
          <w:lang w:val="en-GB"/>
        </w:rPr>
        <w:t xml:space="preserve">, R., </w:t>
      </w:r>
      <w:proofErr w:type="spellStart"/>
      <w:r w:rsidRPr="00B54325">
        <w:rPr>
          <w:lang w:val="en-GB"/>
        </w:rPr>
        <w:t>Sinisi</w:t>
      </w:r>
      <w:proofErr w:type="spellEnd"/>
      <w:r w:rsidRPr="00B54325">
        <w:rPr>
          <w:lang w:val="en-GB"/>
        </w:rPr>
        <w:t xml:space="preserve">, C., Marable, T. B., &amp; Vickery, P. (2003). College Students’ PTSD Symptoms, Coping, and Perceived Benefits Following Media Exposure to 9/11. Journal of College Student Psychotherapy, 18(1). </w:t>
      </w:r>
    </w:p>
    <w:p w14:paraId="1187A7F6" w14:textId="77777777" w:rsidR="00B54325" w:rsidRDefault="00B54325" w:rsidP="00B54325">
      <w:pPr>
        <w:rPr>
          <w:lang w:val="en-GB"/>
        </w:rPr>
      </w:pPr>
    </w:p>
    <w:p w14:paraId="5CBA23DA" w14:textId="77777777" w:rsidR="00B54325" w:rsidRDefault="00B54325" w:rsidP="00B54325">
      <w:pPr>
        <w:ind w:firstLine="720"/>
        <w:rPr>
          <w:lang w:val="en-GB"/>
        </w:rPr>
      </w:pPr>
      <w:proofErr w:type="spellStart"/>
      <w:r w:rsidRPr="00B54325">
        <w:rPr>
          <w:lang w:val="en-GB"/>
        </w:rPr>
        <w:lastRenderedPageBreak/>
        <w:t>Lukaschek</w:t>
      </w:r>
      <w:proofErr w:type="spellEnd"/>
      <w:r w:rsidRPr="00B54325">
        <w:rPr>
          <w:lang w:val="en-GB"/>
        </w:rPr>
        <w:t xml:space="preserve">, K., Kruse, J., </w:t>
      </w:r>
      <w:proofErr w:type="spellStart"/>
      <w:r w:rsidRPr="00B54325">
        <w:rPr>
          <w:lang w:val="en-GB"/>
        </w:rPr>
        <w:t>Emeny</w:t>
      </w:r>
      <w:proofErr w:type="spellEnd"/>
      <w:r w:rsidRPr="00B54325">
        <w:rPr>
          <w:lang w:val="en-GB"/>
        </w:rPr>
        <w:t xml:space="preserve">, R. T., </w:t>
      </w:r>
      <w:proofErr w:type="spellStart"/>
      <w:r w:rsidRPr="00B54325">
        <w:rPr>
          <w:lang w:val="en-GB"/>
        </w:rPr>
        <w:t>Lacruz</w:t>
      </w:r>
      <w:proofErr w:type="spellEnd"/>
      <w:r w:rsidRPr="00B54325">
        <w:rPr>
          <w:lang w:val="en-GB"/>
        </w:rPr>
        <w:t xml:space="preserve">, M. E., von </w:t>
      </w:r>
      <w:proofErr w:type="spellStart"/>
      <w:r w:rsidRPr="00B54325">
        <w:rPr>
          <w:lang w:val="en-GB"/>
        </w:rPr>
        <w:t>Eisenhart</w:t>
      </w:r>
      <w:proofErr w:type="spellEnd"/>
      <w:r w:rsidRPr="00B54325">
        <w:rPr>
          <w:lang w:val="en-GB"/>
        </w:rPr>
        <w:t xml:space="preserve"> </w:t>
      </w:r>
      <w:proofErr w:type="spellStart"/>
      <w:r w:rsidRPr="00B54325">
        <w:rPr>
          <w:lang w:val="en-GB"/>
        </w:rPr>
        <w:t>Rothe</w:t>
      </w:r>
      <w:proofErr w:type="spellEnd"/>
      <w:r w:rsidRPr="00B54325">
        <w:rPr>
          <w:lang w:val="en-GB"/>
        </w:rPr>
        <w:t xml:space="preserve">, A., &amp; </w:t>
      </w:r>
      <w:proofErr w:type="spellStart"/>
      <w:r w:rsidRPr="00B54325">
        <w:rPr>
          <w:lang w:val="en-GB"/>
        </w:rPr>
        <w:t>Ladwig</w:t>
      </w:r>
      <w:proofErr w:type="spellEnd"/>
      <w:r w:rsidRPr="00B54325">
        <w:rPr>
          <w:lang w:val="en-GB"/>
        </w:rPr>
        <w:t xml:space="preserve">, K. (2013). Lifetime traumatic experiences and their impact on PTSD: A general population study. Social Psychiatry and Psychiatric Epidemiology; Heidelberg, 48(4), 525–532. </w:t>
      </w:r>
    </w:p>
    <w:p w14:paraId="152C419B" w14:textId="77777777" w:rsidR="00B54325" w:rsidRDefault="00B54325" w:rsidP="00B54325">
      <w:pPr>
        <w:rPr>
          <w:lang w:val="en-GB"/>
        </w:rPr>
      </w:pPr>
    </w:p>
    <w:p w14:paraId="269C2AD3" w14:textId="77777777" w:rsidR="00B54325" w:rsidRDefault="00B54325" w:rsidP="00B54325">
      <w:pPr>
        <w:ind w:firstLine="720"/>
        <w:rPr>
          <w:lang w:val="en-GR"/>
        </w:rPr>
      </w:pPr>
      <w:proofErr w:type="spellStart"/>
      <w:r w:rsidRPr="00B54325">
        <w:rPr>
          <w:lang w:val="en-GB"/>
        </w:rPr>
        <w:t>Pfefferbaum</w:t>
      </w:r>
      <w:proofErr w:type="spellEnd"/>
      <w:r w:rsidRPr="00B54325">
        <w:rPr>
          <w:lang w:val="en-GB"/>
        </w:rPr>
        <w:t xml:space="preserve">, B., </w:t>
      </w:r>
      <w:proofErr w:type="spellStart"/>
      <w:r w:rsidRPr="00B54325">
        <w:rPr>
          <w:lang w:val="en-GB"/>
        </w:rPr>
        <w:t>Nitiéma</w:t>
      </w:r>
      <w:proofErr w:type="spellEnd"/>
      <w:r w:rsidRPr="00B54325">
        <w:rPr>
          <w:lang w:val="en-GB"/>
        </w:rPr>
        <w:t xml:space="preserve">, P., &amp; Newman, E. (2019). Is Viewing Mass Trauma Television Coverage Associated </w:t>
      </w:r>
      <w:proofErr w:type="gramStart"/>
      <w:r w:rsidRPr="00B54325">
        <w:rPr>
          <w:lang w:val="en-GB"/>
        </w:rPr>
        <w:t>With</w:t>
      </w:r>
      <w:proofErr w:type="gramEnd"/>
      <w:r w:rsidRPr="00B54325">
        <w:rPr>
          <w:lang w:val="en-GB"/>
        </w:rPr>
        <w:t xml:space="preserve"> Trauma Reactions in Adults and Youth? A Meta‐Analytic Review. Journal of Traumatic Stress, 32(2). </w:t>
      </w:r>
    </w:p>
    <w:p w14:paraId="001BE5FC" w14:textId="77777777" w:rsidR="00B54325" w:rsidRDefault="00B54325" w:rsidP="00B54325">
      <w:pPr>
        <w:ind w:firstLine="720"/>
        <w:rPr>
          <w:lang w:val="en-GB"/>
        </w:rPr>
      </w:pPr>
    </w:p>
    <w:p w14:paraId="03C04B04" w14:textId="5023951A" w:rsidR="00B54325" w:rsidRPr="00B54325" w:rsidRDefault="00B54325" w:rsidP="00B54325">
      <w:pPr>
        <w:ind w:firstLine="720"/>
        <w:rPr>
          <w:lang w:val="en-GR"/>
        </w:rPr>
      </w:pPr>
      <w:r w:rsidRPr="00B54325">
        <w:rPr>
          <w:lang w:val="en-GB"/>
        </w:rPr>
        <w:t xml:space="preserve">Saylor, C. F., Cowart, B. L., </w:t>
      </w:r>
      <w:proofErr w:type="spellStart"/>
      <w:r w:rsidRPr="00B54325">
        <w:rPr>
          <w:lang w:val="en-GB"/>
        </w:rPr>
        <w:t>Lipovsky</w:t>
      </w:r>
      <w:proofErr w:type="spellEnd"/>
      <w:r w:rsidRPr="00B54325">
        <w:rPr>
          <w:lang w:val="en-GB"/>
        </w:rPr>
        <w:t xml:space="preserve">, J. A., Jackson, C., &amp; Finch, A. J. (2003). Media exposure to September 11: Elementary school students’ experiences and posttraumatic symptoms. American </w:t>
      </w:r>
      <w:proofErr w:type="spellStart"/>
      <w:r w:rsidRPr="00B54325">
        <w:rPr>
          <w:lang w:val="en-GB"/>
        </w:rPr>
        <w:t>Behavioral</w:t>
      </w:r>
      <w:proofErr w:type="spellEnd"/>
      <w:r w:rsidRPr="00B54325">
        <w:rPr>
          <w:lang w:val="en-GB"/>
        </w:rPr>
        <w:t xml:space="preserve"> Scientist, 46(12), 1622–1642. </w:t>
      </w:r>
    </w:p>
    <w:p w14:paraId="101ACF58" w14:textId="77777777" w:rsidR="00B54325" w:rsidRDefault="00B54325"/>
    <w:sectPr w:rsidR="00B54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04390"/>
    <w:multiLevelType w:val="hybridMultilevel"/>
    <w:tmpl w:val="577C8560"/>
    <w:lvl w:ilvl="0" w:tplc="48CE972C">
      <w:start w:val="1"/>
      <w:numFmt w:val="bullet"/>
      <w:lvlText w:val="•"/>
      <w:lvlJc w:val="left"/>
      <w:pPr>
        <w:tabs>
          <w:tab w:val="num" w:pos="720"/>
        </w:tabs>
        <w:ind w:left="720" w:hanging="360"/>
      </w:pPr>
      <w:rPr>
        <w:rFonts w:ascii="Arial" w:hAnsi="Arial" w:hint="default"/>
      </w:rPr>
    </w:lvl>
    <w:lvl w:ilvl="1" w:tplc="220CA12E" w:tentative="1">
      <w:start w:val="1"/>
      <w:numFmt w:val="bullet"/>
      <w:lvlText w:val="•"/>
      <w:lvlJc w:val="left"/>
      <w:pPr>
        <w:tabs>
          <w:tab w:val="num" w:pos="1440"/>
        </w:tabs>
        <w:ind w:left="1440" w:hanging="360"/>
      </w:pPr>
      <w:rPr>
        <w:rFonts w:ascii="Arial" w:hAnsi="Arial" w:hint="default"/>
      </w:rPr>
    </w:lvl>
    <w:lvl w:ilvl="2" w:tplc="FFDE8A78" w:tentative="1">
      <w:start w:val="1"/>
      <w:numFmt w:val="bullet"/>
      <w:lvlText w:val="•"/>
      <w:lvlJc w:val="left"/>
      <w:pPr>
        <w:tabs>
          <w:tab w:val="num" w:pos="2160"/>
        </w:tabs>
        <w:ind w:left="2160" w:hanging="360"/>
      </w:pPr>
      <w:rPr>
        <w:rFonts w:ascii="Arial" w:hAnsi="Arial" w:hint="default"/>
      </w:rPr>
    </w:lvl>
    <w:lvl w:ilvl="3" w:tplc="B464F554" w:tentative="1">
      <w:start w:val="1"/>
      <w:numFmt w:val="bullet"/>
      <w:lvlText w:val="•"/>
      <w:lvlJc w:val="left"/>
      <w:pPr>
        <w:tabs>
          <w:tab w:val="num" w:pos="2880"/>
        </w:tabs>
        <w:ind w:left="2880" w:hanging="360"/>
      </w:pPr>
      <w:rPr>
        <w:rFonts w:ascii="Arial" w:hAnsi="Arial" w:hint="default"/>
      </w:rPr>
    </w:lvl>
    <w:lvl w:ilvl="4" w:tplc="20C6CB10" w:tentative="1">
      <w:start w:val="1"/>
      <w:numFmt w:val="bullet"/>
      <w:lvlText w:val="•"/>
      <w:lvlJc w:val="left"/>
      <w:pPr>
        <w:tabs>
          <w:tab w:val="num" w:pos="3600"/>
        </w:tabs>
        <w:ind w:left="3600" w:hanging="360"/>
      </w:pPr>
      <w:rPr>
        <w:rFonts w:ascii="Arial" w:hAnsi="Arial" w:hint="default"/>
      </w:rPr>
    </w:lvl>
    <w:lvl w:ilvl="5" w:tplc="CC264DA8" w:tentative="1">
      <w:start w:val="1"/>
      <w:numFmt w:val="bullet"/>
      <w:lvlText w:val="•"/>
      <w:lvlJc w:val="left"/>
      <w:pPr>
        <w:tabs>
          <w:tab w:val="num" w:pos="4320"/>
        </w:tabs>
        <w:ind w:left="4320" w:hanging="360"/>
      </w:pPr>
      <w:rPr>
        <w:rFonts w:ascii="Arial" w:hAnsi="Arial" w:hint="default"/>
      </w:rPr>
    </w:lvl>
    <w:lvl w:ilvl="6" w:tplc="82B24AC2" w:tentative="1">
      <w:start w:val="1"/>
      <w:numFmt w:val="bullet"/>
      <w:lvlText w:val="•"/>
      <w:lvlJc w:val="left"/>
      <w:pPr>
        <w:tabs>
          <w:tab w:val="num" w:pos="5040"/>
        </w:tabs>
        <w:ind w:left="5040" w:hanging="360"/>
      </w:pPr>
      <w:rPr>
        <w:rFonts w:ascii="Arial" w:hAnsi="Arial" w:hint="default"/>
      </w:rPr>
    </w:lvl>
    <w:lvl w:ilvl="7" w:tplc="72B63736" w:tentative="1">
      <w:start w:val="1"/>
      <w:numFmt w:val="bullet"/>
      <w:lvlText w:val="•"/>
      <w:lvlJc w:val="left"/>
      <w:pPr>
        <w:tabs>
          <w:tab w:val="num" w:pos="5760"/>
        </w:tabs>
        <w:ind w:left="5760" w:hanging="360"/>
      </w:pPr>
      <w:rPr>
        <w:rFonts w:ascii="Arial" w:hAnsi="Arial" w:hint="default"/>
      </w:rPr>
    </w:lvl>
    <w:lvl w:ilvl="8" w:tplc="5FD253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C065510"/>
    <w:multiLevelType w:val="hybridMultilevel"/>
    <w:tmpl w:val="207211F4"/>
    <w:lvl w:ilvl="0" w:tplc="115666F4">
      <w:start w:val="1"/>
      <w:numFmt w:val="bullet"/>
      <w:lvlText w:val="•"/>
      <w:lvlJc w:val="left"/>
      <w:pPr>
        <w:tabs>
          <w:tab w:val="num" w:pos="720"/>
        </w:tabs>
        <w:ind w:left="720" w:hanging="360"/>
      </w:pPr>
      <w:rPr>
        <w:rFonts w:ascii="Arial" w:hAnsi="Arial" w:hint="default"/>
      </w:rPr>
    </w:lvl>
    <w:lvl w:ilvl="1" w:tplc="392843BC" w:tentative="1">
      <w:start w:val="1"/>
      <w:numFmt w:val="bullet"/>
      <w:lvlText w:val="•"/>
      <w:lvlJc w:val="left"/>
      <w:pPr>
        <w:tabs>
          <w:tab w:val="num" w:pos="1440"/>
        </w:tabs>
        <w:ind w:left="1440" w:hanging="360"/>
      </w:pPr>
      <w:rPr>
        <w:rFonts w:ascii="Arial" w:hAnsi="Arial" w:hint="default"/>
      </w:rPr>
    </w:lvl>
    <w:lvl w:ilvl="2" w:tplc="E8D01E0E" w:tentative="1">
      <w:start w:val="1"/>
      <w:numFmt w:val="bullet"/>
      <w:lvlText w:val="•"/>
      <w:lvlJc w:val="left"/>
      <w:pPr>
        <w:tabs>
          <w:tab w:val="num" w:pos="2160"/>
        </w:tabs>
        <w:ind w:left="2160" w:hanging="360"/>
      </w:pPr>
      <w:rPr>
        <w:rFonts w:ascii="Arial" w:hAnsi="Arial" w:hint="default"/>
      </w:rPr>
    </w:lvl>
    <w:lvl w:ilvl="3" w:tplc="7C74DE50" w:tentative="1">
      <w:start w:val="1"/>
      <w:numFmt w:val="bullet"/>
      <w:lvlText w:val="•"/>
      <w:lvlJc w:val="left"/>
      <w:pPr>
        <w:tabs>
          <w:tab w:val="num" w:pos="2880"/>
        </w:tabs>
        <w:ind w:left="2880" w:hanging="360"/>
      </w:pPr>
      <w:rPr>
        <w:rFonts w:ascii="Arial" w:hAnsi="Arial" w:hint="default"/>
      </w:rPr>
    </w:lvl>
    <w:lvl w:ilvl="4" w:tplc="3B24670C" w:tentative="1">
      <w:start w:val="1"/>
      <w:numFmt w:val="bullet"/>
      <w:lvlText w:val="•"/>
      <w:lvlJc w:val="left"/>
      <w:pPr>
        <w:tabs>
          <w:tab w:val="num" w:pos="3600"/>
        </w:tabs>
        <w:ind w:left="3600" w:hanging="360"/>
      </w:pPr>
      <w:rPr>
        <w:rFonts w:ascii="Arial" w:hAnsi="Arial" w:hint="default"/>
      </w:rPr>
    </w:lvl>
    <w:lvl w:ilvl="5" w:tplc="BF4A2BEE" w:tentative="1">
      <w:start w:val="1"/>
      <w:numFmt w:val="bullet"/>
      <w:lvlText w:val="•"/>
      <w:lvlJc w:val="left"/>
      <w:pPr>
        <w:tabs>
          <w:tab w:val="num" w:pos="4320"/>
        </w:tabs>
        <w:ind w:left="4320" w:hanging="360"/>
      </w:pPr>
      <w:rPr>
        <w:rFonts w:ascii="Arial" w:hAnsi="Arial" w:hint="default"/>
      </w:rPr>
    </w:lvl>
    <w:lvl w:ilvl="6" w:tplc="D5D6093A" w:tentative="1">
      <w:start w:val="1"/>
      <w:numFmt w:val="bullet"/>
      <w:lvlText w:val="•"/>
      <w:lvlJc w:val="left"/>
      <w:pPr>
        <w:tabs>
          <w:tab w:val="num" w:pos="5040"/>
        </w:tabs>
        <w:ind w:left="5040" w:hanging="360"/>
      </w:pPr>
      <w:rPr>
        <w:rFonts w:ascii="Arial" w:hAnsi="Arial" w:hint="default"/>
      </w:rPr>
    </w:lvl>
    <w:lvl w:ilvl="7" w:tplc="4B1E1F2C" w:tentative="1">
      <w:start w:val="1"/>
      <w:numFmt w:val="bullet"/>
      <w:lvlText w:val="•"/>
      <w:lvlJc w:val="left"/>
      <w:pPr>
        <w:tabs>
          <w:tab w:val="num" w:pos="5760"/>
        </w:tabs>
        <w:ind w:left="5760" w:hanging="360"/>
      </w:pPr>
      <w:rPr>
        <w:rFonts w:ascii="Arial" w:hAnsi="Arial" w:hint="default"/>
      </w:rPr>
    </w:lvl>
    <w:lvl w:ilvl="8" w:tplc="48A435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5504459"/>
    <w:multiLevelType w:val="hybridMultilevel"/>
    <w:tmpl w:val="A40CE620"/>
    <w:lvl w:ilvl="0" w:tplc="FAD66E8A">
      <w:start w:val="1"/>
      <w:numFmt w:val="bullet"/>
      <w:lvlText w:val="•"/>
      <w:lvlJc w:val="left"/>
      <w:pPr>
        <w:tabs>
          <w:tab w:val="num" w:pos="720"/>
        </w:tabs>
        <w:ind w:left="720" w:hanging="360"/>
      </w:pPr>
      <w:rPr>
        <w:rFonts w:ascii="Arial" w:hAnsi="Arial" w:hint="default"/>
      </w:rPr>
    </w:lvl>
    <w:lvl w:ilvl="1" w:tplc="3EE40086" w:tentative="1">
      <w:start w:val="1"/>
      <w:numFmt w:val="bullet"/>
      <w:lvlText w:val="•"/>
      <w:lvlJc w:val="left"/>
      <w:pPr>
        <w:tabs>
          <w:tab w:val="num" w:pos="1440"/>
        </w:tabs>
        <w:ind w:left="1440" w:hanging="360"/>
      </w:pPr>
      <w:rPr>
        <w:rFonts w:ascii="Arial" w:hAnsi="Arial" w:hint="default"/>
      </w:rPr>
    </w:lvl>
    <w:lvl w:ilvl="2" w:tplc="62D2AEE8" w:tentative="1">
      <w:start w:val="1"/>
      <w:numFmt w:val="bullet"/>
      <w:lvlText w:val="•"/>
      <w:lvlJc w:val="left"/>
      <w:pPr>
        <w:tabs>
          <w:tab w:val="num" w:pos="2160"/>
        </w:tabs>
        <w:ind w:left="2160" w:hanging="360"/>
      </w:pPr>
      <w:rPr>
        <w:rFonts w:ascii="Arial" w:hAnsi="Arial" w:hint="default"/>
      </w:rPr>
    </w:lvl>
    <w:lvl w:ilvl="3" w:tplc="8A103238" w:tentative="1">
      <w:start w:val="1"/>
      <w:numFmt w:val="bullet"/>
      <w:lvlText w:val="•"/>
      <w:lvlJc w:val="left"/>
      <w:pPr>
        <w:tabs>
          <w:tab w:val="num" w:pos="2880"/>
        </w:tabs>
        <w:ind w:left="2880" w:hanging="360"/>
      </w:pPr>
      <w:rPr>
        <w:rFonts w:ascii="Arial" w:hAnsi="Arial" w:hint="default"/>
      </w:rPr>
    </w:lvl>
    <w:lvl w:ilvl="4" w:tplc="018818AC" w:tentative="1">
      <w:start w:val="1"/>
      <w:numFmt w:val="bullet"/>
      <w:lvlText w:val="•"/>
      <w:lvlJc w:val="left"/>
      <w:pPr>
        <w:tabs>
          <w:tab w:val="num" w:pos="3600"/>
        </w:tabs>
        <w:ind w:left="3600" w:hanging="360"/>
      </w:pPr>
      <w:rPr>
        <w:rFonts w:ascii="Arial" w:hAnsi="Arial" w:hint="default"/>
      </w:rPr>
    </w:lvl>
    <w:lvl w:ilvl="5" w:tplc="DA52FF1C" w:tentative="1">
      <w:start w:val="1"/>
      <w:numFmt w:val="bullet"/>
      <w:lvlText w:val="•"/>
      <w:lvlJc w:val="left"/>
      <w:pPr>
        <w:tabs>
          <w:tab w:val="num" w:pos="4320"/>
        </w:tabs>
        <w:ind w:left="4320" w:hanging="360"/>
      </w:pPr>
      <w:rPr>
        <w:rFonts w:ascii="Arial" w:hAnsi="Arial" w:hint="default"/>
      </w:rPr>
    </w:lvl>
    <w:lvl w:ilvl="6" w:tplc="73DC1852" w:tentative="1">
      <w:start w:val="1"/>
      <w:numFmt w:val="bullet"/>
      <w:lvlText w:val="•"/>
      <w:lvlJc w:val="left"/>
      <w:pPr>
        <w:tabs>
          <w:tab w:val="num" w:pos="5040"/>
        </w:tabs>
        <w:ind w:left="5040" w:hanging="360"/>
      </w:pPr>
      <w:rPr>
        <w:rFonts w:ascii="Arial" w:hAnsi="Arial" w:hint="default"/>
      </w:rPr>
    </w:lvl>
    <w:lvl w:ilvl="7" w:tplc="44EA4996" w:tentative="1">
      <w:start w:val="1"/>
      <w:numFmt w:val="bullet"/>
      <w:lvlText w:val="•"/>
      <w:lvlJc w:val="left"/>
      <w:pPr>
        <w:tabs>
          <w:tab w:val="num" w:pos="5760"/>
        </w:tabs>
        <w:ind w:left="5760" w:hanging="360"/>
      </w:pPr>
      <w:rPr>
        <w:rFonts w:ascii="Arial" w:hAnsi="Arial" w:hint="default"/>
      </w:rPr>
    </w:lvl>
    <w:lvl w:ilvl="8" w:tplc="8168E50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25"/>
    <w:rsid w:val="002D3844"/>
    <w:rsid w:val="00424DB0"/>
    <w:rsid w:val="009C3447"/>
    <w:rsid w:val="00B54325"/>
    <w:rsid w:val="00BB5435"/>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46EC109D"/>
  <w15:chartTrackingRefBased/>
  <w15:docId w15:val="{8667806F-8B5C-9C4D-9615-5BAEC3B3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25"/>
    <w:pPr>
      <w:ind w:left="720"/>
      <w:contextualSpacing/>
    </w:pPr>
  </w:style>
  <w:style w:type="table" w:styleId="PlainTable2">
    <w:name w:val="Plain Table 2"/>
    <w:basedOn w:val="TableNormal"/>
    <w:uiPriority w:val="42"/>
    <w:rsid w:val="00BB5435"/>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BB5435"/>
    <w:pPr>
      <w:spacing w:after="200"/>
    </w:pPr>
    <w:rPr>
      <w:rFonts w:ascii="Arial" w:hAnsi="Arial"/>
      <w:iCs/>
      <w:color w:val="000000" w:themeColor="tex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70699">
      <w:bodyDiv w:val="1"/>
      <w:marLeft w:val="0"/>
      <w:marRight w:val="0"/>
      <w:marTop w:val="0"/>
      <w:marBottom w:val="0"/>
      <w:divBdr>
        <w:top w:val="none" w:sz="0" w:space="0" w:color="auto"/>
        <w:left w:val="none" w:sz="0" w:space="0" w:color="auto"/>
        <w:bottom w:val="none" w:sz="0" w:space="0" w:color="auto"/>
        <w:right w:val="none" w:sz="0" w:space="0" w:color="auto"/>
      </w:divBdr>
    </w:div>
    <w:div w:id="283772137">
      <w:bodyDiv w:val="1"/>
      <w:marLeft w:val="0"/>
      <w:marRight w:val="0"/>
      <w:marTop w:val="0"/>
      <w:marBottom w:val="0"/>
      <w:divBdr>
        <w:top w:val="none" w:sz="0" w:space="0" w:color="auto"/>
        <w:left w:val="none" w:sz="0" w:space="0" w:color="auto"/>
        <w:bottom w:val="none" w:sz="0" w:space="0" w:color="auto"/>
        <w:right w:val="none" w:sz="0" w:space="0" w:color="auto"/>
      </w:divBdr>
      <w:divsChild>
        <w:div w:id="136805177">
          <w:marLeft w:val="547"/>
          <w:marRight w:val="0"/>
          <w:marTop w:val="0"/>
          <w:marBottom w:val="0"/>
          <w:divBdr>
            <w:top w:val="none" w:sz="0" w:space="0" w:color="auto"/>
            <w:left w:val="none" w:sz="0" w:space="0" w:color="auto"/>
            <w:bottom w:val="none" w:sz="0" w:space="0" w:color="auto"/>
            <w:right w:val="none" w:sz="0" w:space="0" w:color="auto"/>
          </w:divBdr>
        </w:div>
        <w:div w:id="1743792061">
          <w:marLeft w:val="547"/>
          <w:marRight w:val="0"/>
          <w:marTop w:val="0"/>
          <w:marBottom w:val="0"/>
          <w:divBdr>
            <w:top w:val="none" w:sz="0" w:space="0" w:color="auto"/>
            <w:left w:val="none" w:sz="0" w:space="0" w:color="auto"/>
            <w:bottom w:val="none" w:sz="0" w:space="0" w:color="auto"/>
            <w:right w:val="none" w:sz="0" w:space="0" w:color="auto"/>
          </w:divBdr>
        </w:div>
        <w:div w:id="105587034">
          <w:marLeft w:val="547"/>
          <w:marRight w:val="0"/>
          <w:marTop w:val="0"/>
          <w:marBottom w:val="0"/>
          <w:divBdr>
            <w:top w:val="none" w:sz="0" w:space="0" w:color="auto"/>
            <w:left w:val="none" w:sz="0" w:space="0" w:color="auto"/>
            <w:bottom w:val="none" w:sz="0" w:space="0" w:color="auto"/>
            <w:right w:val="none" w:sz="0" w:space="0" w:color="auto"/>
          </w:divBdr>
        </w:div>
        <w:div w:id="568463779">
          <w:marLeft w:val="547"/>
          <w:marRight w:val="0"/>
          <w:marTop w:val="0"/>
          <w:marBottom w:val="0"/>
          <w:divBdr>
            <w:top w:val="none" w:sz="0" w:space="0" w:color="auto"/>
            <w:left w:val="none" w:sz="0" w:space="0" w:color="auto"/>
            <w:bottom w:val="none" w:sz="0" w:space="0" w:color="auto"/>
            <w:right w:val="none" w:sz="0" w:space="0" w:color="auto"/>
          </w:divBdr>
        </w:div>
        <w:div w:id="1204558830">
          <w:marLeft w:val="547"/>
          <w:marRight w:val="0"/>
          <w:marTop w:val="0"/>
          <w:marBottom w:val="0"/>
          <w:divBdr>
            <w:top w:val="none" w:sz="0" w:space="0" w:color="auto"/>
            <w:left w:val="none" w:sz="0" w:space="0" w:color="auto"/>
            <w:bottom w:val="none" w:sz="0" w:space="0" w:color="auto"/>
            <w:right w:val="none" w:sz="0" w:space="0" w:color="auto"/>
          </w:divBdr>
        </w:div>
        <w:div w:id="1586914815">
          <w:marLeft w:val="547"/>
          <w:marRight w:val="0"/>
          <w:marTop w:val="0"/>
          <w:marBottom w:val="0"/>
          <w:divBdr>
            <w:top w:val="none" w:sz="0" w:space="0" w:color="auto"/>
            <w:left w:val="none" w:sz="0" w:space="0" w:color="auto"/>
            <w:bottom w:val="none" w:sz="0" w:space="0" w:color="auto"/>
            <w:right w:val="none" w:sz="0" w:space="0" w:color="auto"/>
          </w:divBdr>
        </w:div>
      </w:divsChild>
    </w:div>
    <w:div w:id="327101854">
      <w:bodyDiv w:val="1"/>
      <w:marLeft w:val="0"/>
      <w:marRight w:val="0"/>
      <w:marTop w:val="0"/>
      <w:marBottom w:val="0"/>
      <w:divBdr>
        <w:top w:val="none" w:sz="0" w:space="0" w:color="auto"/>
        <w:left w:val="none" w:sz="0" w:space="0" w:color="auto"/>
        <w:bottom w:val="none" w:sz="0" w:space="0" w:color="auto"/>
        <w:right w:val="none" w:sz="0" w:space="0" w:color="auto"/>
      </w:divBdr>
    </w:div>
    <w:div w:id="542063991">
      <w:bodyDiv w:val="1"/>
      <w:marLeft w:val="0"/>
      <w:marRight w:val="0"/>
      <w:marTop w:val="0"/>
      <w:marBottom w:val="0"/>
      <w:divBdr>
        <w:top w:val="none" w:sz="0" w:space="0" w:color="auto"/>
        <w:left w:val="none" w:sz="0" w:space="0" w:color="auto"/>
        <w:bottom w:val="none" w:sz="0" w:space="0" w:color="auto"/>
        <w:right w:val="none" w:sz="0" w:space="0" w:color="auto"/>
      </w:divBdr>
      <w:divsChild>
        <w:div w:id="1006445061">
          <w:marLeft w:val="0"/>
          <w:marRight w:val="0"/>
          <w:marTop w:val="0"/>
          <w:marBottom w:val="0"/>
          <w:divBdr>
            <w:top w:val="none" w:sz="0" w:space="0" w:color="auto"/>
            <w:left w:val="none" w:sz="0" w:space="0" w:color="auto"/>
            <w:bottom w:val="none" w:sz="0" w:space="0" w:color="auto"/>
            <w:right w:val="none" w:sz="0" w:space="0" w:color="auto"/>
          </w:divBdr>
          <w:divsChild>
            <w:div w:id="393940787">
              <w:marLeft w:val="0"/>
              <w:marRight w:val="0"/>
              <w:marTop w:val="0"/>
              <w:marBottom w:val="0"/>
              <w:divBdr>
                <w:top w:val="none" w:sz="0" w:space="0" w:color="auto"/>
                <w:left w:val="none" w:sz="0" w:space="0" w:color="auto"/>
                <w:bottom w:val="none" w:sz="0" w:space="0" w:color="auto"/>
                <w:right w:val="none" w:sz="0" w:space="0" w:color="auto"/>
              </w:divBdr>
              <w:divsChild>
                <w:div w:id="909460539">
                  <w:marLeft w:val="0"/>
                  <w:marRight w:val="0"/>
                  <w:marTop w:val="0"/>
                  <w:marBottom w:val="0"/>
                  <w:divBdr>
                    <w:top w:val="none" w:sz="0" w:space="0" w:color="auto"/>
                    <w:left w:val="none" w:sz="0" w:space="0" w:color="auto"/>
                    <w:bottom w:val="none" w:sz="0" w:space="0" w:color="auto"/>
                    <w:right w:val="none" w:sz="0" w:space="0" w:color="auto"/>
                  </w:divBdr>
                </w:div>
              </w:divsChild>
            </w:div>
            <w:div w:id="1039017411">
              <w:marLeft w:val="0"/>
              <w:marRight w:val="0"/>
              <w:marTop w:val="0"/>
              <w:marBottom w:val="0"/>
              <w:divBdr>
                <w:top w:val="none" w:sz="0" w:space="0" w:color="auto"/>
                <w:left w:val="none" w:sz="0" w:space="0" w:color="auto"/>
                <w:bottom w:val="none" w:sz="0" w:space="0" w:color="auto"/>
                <w:right w:val="none" w:sz="0" w:space="0" w:color="auto"/>
              </w:divBdr>
              <w:divsChild>
                <w:div w:id="285701203">
                  <w:marLeft w:val="0"/>
                  <w:marRight w:val="0"/>
                  <w:marTop w:val="0"/>
                  <w:marBottom w:val="0"/>
                  <w:divBdr>
                    <w:top w:val="none" w:sz="0" w:space="0" w:color="auto"/>
                    <w:left w:val="none" w:sz="0" w:space="0" w:color="auto"/>
                    <w:bottom w:val="none" w:sz="0" w:space="0" w:color="auto"/>
                    <w:right w:val="none" w:sz="0" w:space="0" w:color="auto"/>
                  </w:divBdr>
                </w:div>
              </w:divsChild>
            </w:div>
            <w:div w:id="19671441">
              <w:marLeft w:val="0"/>
              <w:marRight w:val="0"/>
              <w:marTop w:val="0"/>
              <w:marBottom w:val="0"/>
              <w:divBdr>
                <w:top w:val="none" w:sz="0" w:space="0" w:color="auto"/>
                <w:left w:val="none" w:sz="0" w:space="0" w:color="auto"/>
                <w:bottom w:val="none" w:sz="0" w:space="0" w:color="auto"/>
                <w:right w:val="none" w:sz="0" w:space="0" w:color="auto"/>
              </w:divBdr>
              <w:divsChild>
                <w:div w:id="246768572">
                  <w:marLeft w:val="0"/>
                  <w:marRight w:val="0"/>
                  <w:marTop w:val="0"/>
                  <w:marBottom w:val="0"/>
                  <w:divBdr>
                    <w:top w:val="none" w:sz="0" w:space="0" w:color="auto"/>
                    <w:left w:val="none" w:sz="0" w:space="0" w:color="auto"/>
                    <w:bottom w:val="none" w:sz="0" w:space="0" w:color="auto"/>
                    <w:right w:val="none" w:sz="0" w:space="0" w:color="auto"/>
                  </w:divBdr>
                </w:div>
                <w:div w:id="1494950315">
                  <w:marLeft w:val="0"/>
                  <w:marRight w:val="0"/>
                  <w:marTop w:val="0"/>
                  <w:marBottom w:val="0"/>
                  <w:divBdr>
                    <w:top w:val="none" w:sz="0" w:space="0" w:color="auto"/>
                    <w:left w:val="none" w:sz="0" w:space="0" w:color="auto"/>
                    <w:bottom w:val="none" w:sz="0" w:space="0" w:color="auto"/>
                    <w:right w:val="none" w:sz="0" w:space="0" w:color="auto"/>
                  </w:divBdr>
                </w:div>
                <w:div w:id="1083258222">
                  <w:marLeft w:val="0"/>
                  <w:marRight w:val="0"/>
                  <w:marTop w:val="0"/>
                  <w:marBottom w:val="0"/>
                  <w:divBdr>
                    <w:top w:val="none" w:sz="0" w:space="0" w:color="auto"/>
                    <w:left w:val="none" w:sz="0" w:space="0" w:color="auto"/>
                    <w:bottom w:val="none" w:sz="0" w:space="0" w:color="auto"/>
                    <w:right w:val="none" w:sz="0" w:space="0" w:color="auto"/>
                  </w:divBdr>
                </w:div>
                <w:div w:id="15715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4429">
      <w:bodyDiv w:val="1"/>
      <w:marLeft w:val="0"/>
      <w:marRight w:val="0"/>
      <w:marTop w:val="0"/>
      <w:marBottom w:val="0"/>
      <w:divBdr>
        <w:top w:val="none" w:sz="0" w:space="0" w:color="auto"/>
        <w:left w:val="none" w:sz="0" w:space="0" w:color="auto"/>
        <w:bottom w:val="none" w:sz="0" w:space="0" w:color="auto"/>
        <w:right w:val="none" w:sz="0" w:space="0" w:color="auto"/>
      </w:divBdr>
    </w:div>
    <w:div w:id="692653100">
      <w:bodyDiv w:val="1"/>
      <w:marLeft w:val="0"/>
      <w:marRight w:val="0"/>
      <w:marTop w:val="0"/>
      <w:marBottom w:val="0"/>
      <w:divBdr>
        <w:top w:val="none" w:sz="0" w:space="0" w:color="auto"/>
        <w:left w:val="none" w:sz="0" w:space="0" w:color="auto"/>
        <w:bottom w:val="none" w:sz="0" w:space="0" w:color="auto"/>
        <w:right w:val="none" w:sz="0" w:space="0" w:color="auto"/>
      </w:divBdr>
    </w:div>
    <w:div w:id="977488387">
      <w:bodyDiv w:val="1"/>
      <w:marLeft w:val="0"/>
      <w:marRight w:val="0"/>
      <w:marTop w:val="0"/>
      <w:marBottom w:val="0"/>
      <w:divBdr>
        <w:top w:val="none" w:sz="0" w:space="0" w:color="auto"/>
        <w:left w:val="none" w:sz="0" w:space="0" w:color="auto"/>
        <w:bottom w:val="none" w:sz="0" w:space="0" w:color="auto"/>
        <w:right w:val="none" w:sz="0" w:space="0" w:color="auto"/>
      </w:divBdr>
    </w:div>
    <w:div w:id="1105034895">
      <w:bodyDiv w:val="1"/>
      <w:marLeft w:val="0"/>
      <w:marRight w:val="0"/>
      <w:marTop w:val="0"/>
      <w:marBottom w:val="0"/>
      <w:divBdr>
        <w:top w:val="none" w:sz="0" w:space="0" w:color="auto"/>
        <w:left w:val="none" w:sz="0" w:space="0" w:color="auto"/>
        <w:bottom w:val="none" w:sz="0" w:space="0" w:color="auto"/>
        <w:right w:val="none" w:sz="0" w:space="0" w:color="auto"/>
      </w:divBdr>
    </w:div>
    <w:div w:id="1119761431">
      <w:bodyDiv w:val="1"/>
      <w:marLeft w:val="0"/>
      <w:marRight w:val="0"/>
      <w:marTop w:val="0"/>
      <w:marBottom w:val="0"/>
      <w:divBdr>
        <w:top w:val="none" w:sz="0" w:space="0" w:color="auto"/>
        <w:left w:val="none" w:sz="0" w:space="0" w:color="auto"/>
        <w:bottom w:val="none" w:sz="0" w:space="0" w:color="auto"/>
        <w:right w:val="none" w:sz="0" w:space="0" w:color="auto"/>
      </w:divBdr>
      <w:divsChild>
        <w:div w:id="503014781">
          <w:marLeft w:val="720"/>
          <w:marRight w:val="0"/>
          <w:marTop w:val="0"/>
          <w:marBottom w:val="0"/>
          <w:divBdr>
            <w:top w:val="none" w:sz="0" w:space="0" w:color="auto"/>
            <w:left w:val="none" w:sz="0" w:space="0" w:color="auto"/>
            <w:bottom w:val="none" w:sz="0" w:space="0" w:color="auto"/>
            <w:right w:val="none" w:sz="0" w:space="0" w:color="auto"/>
          </w:divBdr>
        </w:div>
        <w:div w:id="564268883">
          <w:marLeft w:val="720"/>
          <w:marRight w:val="0"/>
          <w:marTop w:val="0"/>
          <w:marBottom w:val="0"/>
          <w:divBdr>
            <w:top w:val="none" w:sz="0" w:space="0" w:color="auto"/>
            <w:left w:val="none" w:sz="0" w:space="0" w:color="auto"/>
            <w:bottom w:val="none" w:sz="0" w:space="0" w:color="auto"/>
            <w:right w:val="none" w:sz="0" w:space="0" w:color="auto"/>
          </w:divBdr>
        </w:div>
        <w:div w:id="1396200139">
          <w:marLeft w:val="720"/>
          <w:marRight w:val="0"/>
          <w:marTop w:val="0"/>
          <w:marBottom w:val="0"/>
          <w:divBdr>
            <w:top w:val="none" w:sz="0" w:space="0" w:color="auto"/>
            <w:left w:val="none" w:sz="0" w:space="0" w:color="auto"/>
            <w:bottom w:val="none" w:sz="0" w:space="0" w:color="auto"/>
            <w:right w:val="none" w:sz="0" w:space="0" w:color="auto"/>
          </w:divBdr>
        </w:div>
        <w:div w:id="1820877767">
          <w:marLeft w:val="720"/>
          <w:marRight w:val="0"/>
          <w:marTop w:val="0"/>
          <w:marBottom w:val="0"/>
          <w:divBdr>
            <w:top w:val="none" w:sz="0" w:space="0" w:color="auto"/>
            <w:left w:val="none" w:sz="0" w:space="0" w:color="auto"/>
            <w:bottom w:val="none" w:sz="0" w:space="0" w:color="auto"/>
            <w:right w:val="none" w:sz="0" w:space="0" w:color="auto"/>
          </w:divBdr>
        </w:div>
        <w:div w:id="1996452580">
          <w:marLeft w:val="720"/>
          <w:marRight w:val="0"/>
          <w:marTop w:val="0"/>
          <w:marBottom w:val="0"/>
          <w:divBdr>
            <w:top w:val="none" w:sz="0" w:space="0" w:color="auto"/>
            <w:left w:val="none" w:sz="0" w:space="0" w:color="auto"/>
            <w:bottom w:val="none" w:sz="0" w:space="0" w:color="auto"/>
            <w:right w:val="none" w:sz="0" w:space="0" w:color="auto"/>
          </w:divBdr>
        </w:div>
      </w:divsChild>
    </w:div>
    <w:div w:id="1237545966">
      <w:bodyDiv w:val="1"/>
      <w:marLeft w:val="0"/>
      <w:marRight w:val="0"/>
      <w:marTop w:val="0"/>
      <w:marBottom w:val="0"/>
      <w:divBdr>
        <w:top w:val="none" w:sz="0" w:space="0" w:color="auto"/>
        <w:left w:val="none" w:sz="0" w:space="0" w:color="auto"/>
        <w:bottom w:val="none" w:sz="0" w:space="0" w:color="auto"/>
        <w:right w:val="none" w:sz="0" w:space="0" w:color="auto"/>
      </w:divBdr>
    </w:div>
    <w:div w:id="1333679955">
      <w:bodyDiv w:val="1"/>
      <w:marLeft w:val="0"/>
      <w:marRight w:val="0"/>
      <w:marTop w:val="0"/>
      <w:marBottom w:val="0"/>
      <w:divBdr>
        <w:top w:val="none" w:sz="0" w:space="0" w:color="auto"/>
        <w:left w:val="none" w:sz="0" w:space="0" w:color="auto"/>
        <w:bottom w:val="none" w:sz="0" w:space="0" w:color="auto"/>
        <w:right w:val="none" w:sz="0" w:space="0" w:color="auto"/>
      </w:divBdr>
    </w:div>
    <w:div w:id="136016244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34">
          <w:marLeft w:val="0"/>
          <w:marRight w:val="0"/>
          <w:marTop w:val="0"/>
          <w:marBottom w:val="0"/>
          <w:divBdr>
            <w:top w:val="none" w:sz="0" w:space="0" w:color="auto"/>
            <w:left w:val="none" w:sz="0" w:space="0" w:color="auto"/>
            <w:bottom w:val="none" w:sz="0" w:space="0" w:color="auto"/>
            <w:right w:val="none" w:sz="0" w:space="0" w:color="auto"/>
          </w:divBdr>
          <w:divsChild>
            <w:div w:id="272829326">
              <w:marLeft w:val="0"/>
              <w:marRight w:val="0"/>
              <w:marTop w:val="0"/>
              <w:marBottom w:val="0"/>
              <w:divBdr>
                <w:top w:val="none" w:sz="0" w:space="0" w:color="auto"/>
                <w:left w:val="none" w:sz="0" w:space="0" w:color="auto"/>
                <w:bottom w:val="none" w:sz="0" w:space="0" w:color="auto"/>
                <w:right w:val="none" w:sz="0" w:space="0" w:color="auto"/>
              </w:divBdr>
              <w:divsChild>
                <w:div w:id="1214536894">
                  <w:marLeft w:val="0"/>
                  <w:marRight w:val="0"/>
                  <w:marTop w:val="0"/>
                  <w:marBottom w:val="0"/>
                  <w:divBdr>
                    <w:top w:val="none" w:sz="0" w:space="0" w:color="auto"/>
                    <w:left w:val="none" w:sz="0" w:space="0" w:color="auto"/>
                    <w:bottom w:val="none" w:sz="0" w:space="0" w:color="auto"/>
                    <w:right w:val="none" w:sz="0" w:space="0" w:color="auto"/>
                  </w:divBdr>
                  <w:divsChild>
                    <w:div w:id="5054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90299">
      <w:bodyDiv w:val="1"/>
      <w:marLeft w:val="0"/>
      <w:marRight w:val="0"/>
      <w:marTop w:val="0"/>
      <w:marBottom w:val="0"/>
      <w:divBdr>
        <w:top w:val="none" w:sz="0" w:space="0" w:color="auto"/>
        <w:left w:val="none" w:sz="0" w:space="0" w:color="auto"/>
        <w:bottom w:val="none" w:sz="0" w:space="0" w:color="auto"/>
        <w:right w:val="none" w:sz="0" w:space="0" w:color="auto"/>
      </w:divBdr>
    </w:div>
    <w:div w:id="1646738577">
      <w:bodyDiv w:val="1"/>
      <w:marLeft w:val="0"/>
      <w:marRight w:val="0"/>
      <w:marTop w:val="0"/>
      <w:marBottom w:val="0"/>
      <w:divBdr>
        <w:top w:val="none" w:sz="0" w:space="0" w:color="auto"/>
        <w:left w:val="none" w:sz="0" w:space="0" w:color="auto"/>
        <w:bottom w:val="none" w:sz="0" w:space="0" w:color="auto"/>
        <w:right w:val="none" w:sz="0" w:space="0" w:color="auto"/>
      </w:divBdr>
    </w:div>
    <w:div w:id="1759600497">
      <w:bodyDiv w:val="1"/>
      <w:marLeft w:val="0"/>
      <w:marRight w:val="0"/>
      <w:marTop w:val="0"/>
      <w:marBottom w:val="0"/>
      <w:divBdr>
        <w:top w:val="none" w:sz="0" w:space="0" w:color="auto"/>
        <w:left w:val="none" w:sz="0" w:space="0" w:color="auto"/>
        <w:bottom w:val="none" w:sz="0" w:space="0" w:color="auto"/>
        <w:right w:val="none" w:sz="0" w:space="0" w:color="auto"/>
      </w:divBdr>
    </w:div>
    <w:div w:id="1808161284">
      <w:bodyDiv w:val="1"/>
      <w:marLeft w:val="0"/>
      <w:marRight w:val="0"/>
      <w:marTop w:val="0"/>
      <w:marBottom w:val="0"/>
      <w:divBdr>
        <w:top w:val="none" w:sz="0" w:space="0" w:color="auto"/>
        <w:left w:val="none" w:sz="0" w:space="0" w:color="auto"/>
        <w:bottom w:val="none" w:sz="0" w:space="0" w:color="auto"/>
        <w:right w:val="none" w:sz="0" w:space="0" w:color="auto"/>
      </w:divBdr>
    </w:div>
    <w:div w:id="1825274564">
      <w:bodyDiv w:val="1"/>
      <w:marLeft w:val="0"/>
      <w:marRight w:val="0"/>
      <w:marTop w:val="0"/>
      <w:marBottom w:val="0"/>
      <w:divBdr>
        <w:top w:val="none" w:sz="0" w:space="0" w:color="auto"/>
        <w:left w:val="none" w:sz="0" w:space="0" w:color="auto"/>
        <w:bottom w:val="none" w:sz="0" w:space="0" w:color="auto"/>
        <w:right w:val="none" w:sz="0" w:space="0" w:color="auto"/>
      </w:divBdr>
    </w:div>
    <w:div w:id="1863548850">
      <w:bodyDiv w:val="1"/>
      <w:marLeft w:val="0"/>
      <w:marRight w:val="0"/>
      <w:marTop w:val="0"/>
      <w:marBottom w:val="0"/>
      <w:divBdr>
        <w:top w:val="none" w:sz="0" w:space="0" w:color="auto"/>
        <w:left w:val="none" w:sz="0" w:space="0" w:color="auto"/>
        <w:bottom w:val="none" w:sz="0" w:space="0" w:color="auto"/>
        <w:right w:val="none" w:sz="0" w:space="0" w:color="auto"/>
      </w:divBdr>
    </w:div>
    <w:div w:id="2134323153">
      <w:bodyDiv w:val="1"/>
      <w:marLeft w:val="0"/>
      <w:marRight w:val="0"/>
      <w:marTop w:val="0"/>
      <w:marBottom w:val="0"/>
      <w:divBdr>
        <w:top w:val="none" w:sz="0" w:space="0" w:color="auto"/>
        <w:left w:val="none" w:sz="0" w:space="0" w:color="auto"/>
        <w:bottom w:val="none" w:sz="0" w:space="0" w:color="auto"/>
        <w:right w:val="none" w:sz="0" w:space="0" w:color="auto"/>
      </w:divBdr>
      <w:divsChild>
        <w:div w:id="148719198">
          <w:marLeft w:val="547"/>
          <w:marRight w:val="0"/>
          <w:marTop w:val="0"/>
          <w:marBottom w:val="0"/>
          <w:divBdr>
            <w:top w:val="none" w:sz="0" w:space="0" w:color="auto"/>
            <w:left w:val="none" w:sz="0" w:space="0" w:color="auto"/>
            <w:bottom w:val="none" w:sz="0" w:space="0" w:color="auto"/>
            <w:right w:val="none" w:sz="0" w:space="0" w:color="auto"/>
          </w:divBdr>
        </w:div>
        <w:div w:id="1317758315">
          <w:marLeft w:val="547"/>
          <w:marRight w:val="0"/>
          <w:marTop w:val="0"/>
          <w:marBottom w:val="0"/>
          <w:divBdr>
            <w:top w:val="none" w:sz="0" w:space="0" w:color="auto"/>
            <w:left w:val="none" w:sz="0" w:space="0" w:color="auto"/>
            <w:bottom w:val="none" w:sz="0" w:space="0" w:color="auto"/>
            <w:right w:val="none" w:sz="0" w:space="0" w:color="auto"/>
          </w:divBdr>
        </w:div>
        <w:div w:id="17040115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BDCE27CD73E428CB0636DE667F80F" ma:contentTypeVersion="12" ma:contentTypeDescription="Create a new document." ma:contentTypeScope="" ma:versionID="fc5e7c3aeb5432bb6ba1a3d81e9fdcfd">
  <xsd:schema xmlns:xsd="http://www.w3.org/2001/XMLSchema" xmlns:xs="http://www.w3.org/2001/XMLSchema" xmlns:p="http://schemas.microsoft.com/office/2006/metadata/properties" xmlns:ns2="026d2202-b4d9-4b15-89c1-0ec0512469f4" xmlns:ns3="011c7039-0301-41f7-9627-72e5ca99c782" targetNamespace="http://schemas.microsoft.com/office/2006/metadata/properties" ma:root="true" ma:fieldsID="96ff69da324da256480a819fdbb38554" ns2:_="" ns3:_="">
    <xsd:import namespace="026d2202-b4d9-4b15-89c1-0ec0512469f4"/>
    <xsd:import namespace="011c7039-0301-41f7-9627-72e5ca99c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d2202-b4d9-4b15-89c1-0ec051246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c7039-0301-41f7-9627-72e5ca99c7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1255C-CC22-4619-A214-88AE26E78DCC}"/>
</file>

<file path=customXml/itemProps2.xml><?xml version="1.0" encoding="utf-8"?>
<ds:datastoreItem xmlns:ds="http://schemas.openxmlformats.org/officeDocument/2006/customXml" ds:itemID="{5713A710-33CF-468E-B80D-816CFFC61C58}"/>
</file>

<file path=customXml/itemProps3.xml><?xml version="1.0" encoding="utf-8"?>
<ds:datastoreItem xmlns:ds="http://schemas.openxmlformats.org/officeDocument/2006/customXml" ds:itemID="{CC8FEB40-5284-4201-902B-0AAB4D8EB4C6}"/>
</file>

<file path=docProps/app.xml><?xml version="1.0" encoding="utf-8"?>
<Properties xmlns="http://schemas.openxmlformats.org/officeDocument/2006/extended-properties" xmlns:vt="http://schemas.openxmlformats.org/officeDocument/2006/docPropsVTypes">
  <Template>Normal.dotm</Template>
  <TotalTime>10</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Uyanik, Abdullah</dc:creator>
  <cp:keywords/>
  <dc:description/>
  <cp:lastModifiedBy>Uyanik, Abdullah</cp:lastModifiedBy>
  <cp:revision>1</cp:revision>
  <dcterms:created xsi:type="dcterms:W3CDTF">2021-04-15T12:38:00Z</dcterms:created>
  <dcterms:modified xsi:type="dcterms:W3CDTF">2021-04-15T12:58:00Z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0x010100A0DBDCE27CD73E428CB0636DE667F80F</vt:lpwstr>
  </property>
</Properties>
</file>