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861054" w:rsidRDefault="00A9322B" w:rsidP="00CF4482">
      <w:pPr>
        <w:pStyle w:val="Heading1"/>
        <w:rPr>
          <w:sz w:val="22"/>
        </w:rPr>
      </w:pPr>
    </w:p>
    <w:p w14:paraId="14707511" w14:textId="711A3939" w:rsidR="00245A9D" w:rsidRDefault="00245A9D" w:rsidP="008F3633">
      <w:pPr>
        <w:pStyle w:val="Heading1"/>
        <w:spacing w:after="0"/>
      </w:pPr>
      <w:r w:rsidRPr="00245A9D">
        <w:t xml:space="preserve">BACP </w:t>
      </w:r>
      <w:r w:rsidR="007400CB">
        <w:t>Course</w:t>
      </w:r>
      <w:r w:rsidRPr="00245A9D">
        <w:t xml:space="preserve"> Accreditation Scheme</w:t>
      </w:r>
    </w:p>
    <w:p w14:paraId="16F66F37" w14:textId="77777777" w:rsidR="008F3633" w:rsidRPr="008F3633" w:rsidRDefault="008F3633" w:rsidP="008F3633">
      <w:pPr>
        <w:spacing w:after="0"/>
      </w:pPr>
    </w:p>
    <w:p w14:paraId="74AAA251" w14:textId="7A3AA46C" w:rsidR="00245A9D" w:rsidRDefault="00D22401" w:rsidP="008F3633">
      <w:pPr>
        <w:pStyle w:val="Heading2"/>
        <w:spacing w:after="0"/>
      </w:pPr>
      <w:r>
        <w:t>Delivery</w:t>
      </w:r>
      <w:r w:rsidR="00EA1FD5" w:rsidRPr="005C6F5F">
        <w:t xml:space="preserve"> Guidance</w:t>
      </w:r>
      <w:r w:rsidR="00642B04">
        <w:t xml:space="preserve"> –</w:t>
      </w:r>
      <w:r w:rsidR="00C55E30">
        <w:t xml:space="preserve"> B</w:t>
      </w:r>
      <w:r w:rsidR="00847697">
        <w:t>6</w:t>
      </w:r>
    </w:p>
    <w:p w14:paraId="4A17AAEC" w14:textId="77777777" w:rsidR="00FB0E7F" w:rsidRPr="00FB0E7F" w:rsidRDefault="00FB0E7F" w:rsidP="00663A86">
      <w:pPr>
        <w:spacing w:after="0"/>
        <w:rPr>
          <w:rFonts w:ascii="Trebuchet MS" w:hAnsi="Trebuchet MS" w:cs="Arial"/>
          <w:b/>
          <w:color w:val="E20E5A"/>
        </w:rPr>
      </w:pPr>
    </w:p>
    <w:p w14:paraId="11BD3CFD" w14:textId="77777777" w:rsidR="00FB0E7F" w:rsidRPr="0039193D" w:rsidRDefault="00FB0E7F" w:rsidP="00FB0E7F">
      <w:pPr>
        <w:pBdr>
          <w:bottom w:val="single" w:sz="48" w:space="1" w:color="7030A0"/>
        </w:pBdr>
        <w:spacing w:after="0" w:line="240" w:lineRule="auto"/>
        <w:jc w:val="both"/>
        <w:rPr>
          <w:rFonts w:ascii="Trebuchet MS" w:eastAsia="Times New Roman" w:hAnsi="Trebuchet MS" w:cs="Arial"/>
          <w:b/>
          <w:color w:val="31006F" w:themeColor="accent1"/>
          <w:sz w:val="24"/>
          <w:lang w:val="en-US"/>
        </w:rPr>
      </w:pPr>
      <w:r w:rsidRPr="0039193D">
        <w:rPr>
          <w:rFonts w:ascii="Trebuchet MS" w:eastAsia="Times New Roman" w:hAnsi="Trebuchet MS" w:cs="Arial"/>
          <w:b/>
          <w:color w:val="31006F" w:themeColor="accent1"/>
          <w:sz w:val="24"/>
          <w:lang w:val="en-US"/>
        </w:rPr>
        <w:t xml:space="preserve">B6. STUDENT ASSESSMENT </w:t>
      </w:r>
    </w:p>
    <w:p w14:paraId="23D9784C" w14:textId="77777777" w:rsidR="00FB0E7F" w:rsidRPr="00FB0E7F" w:rsidRDefault="00FB0E7F" w:rsidP="00FB0E7F">
      <w:pPr>
        <w:spacing w:after="0" w:line="240" w:lineRule="auto"/>
        <w:rPr>
          <w:rFonts w:ascii="Trebuchet MS" w:eastAsia="Times New Roman" w:hAnsi="Trebuchet MS" w:cs="Arial"/>
          <w:color w:val="000000"/>
          <w:lang w:val="en-US"/>
        </w:rPr>
      </w:pPr>
      <w:r w:rsidRPr="00FB0E7F">
        <w:rPr>
          <w:rFonts w:ascii="Trebuchet MS" w:eastAsia="Times New Roman" w:hAnsi="Trebuchet MS" w:cs="Arial"/>
          <w:color w:val="000000"/>
          <w:lang w:val="en-US"/>
        </w:rPr>
        <w:t>This section requires the course to demonstrate how it assesses students against clear and specific published learning outcomes and assessment criteria.  Once again, each criterion and sub-criterion must be addressed and evidenced individually and clearly labelled/cross-referenced.</w:t>
      </w:r>
    </w:p>
    <w:p w14:paraId="68E8D2E6" w14:textId="77777777" w:rsidR="00FB0E7F" w:rsidRPr="00FB0E7F" w:rsidRDefault="00FB0E7F" w:rsidP="00FB0E7F">
      <w:pPr>
        <w:spacing w:after="0" w:line="240" w:lineRule="auto"/>
        <w:rPr>
          <w:rFonts w:ascii="Trebuchet MS" w:eastAsia="Times New Roman" w:hAnsi="Trebuchet MS" w:cs="Arial"/>
          <w:color w:val="000000"/>
          <w:lang w:val="en-US"/>
        </w:rPr>
      </w:pPr>
      <w:r w:rsidRPr="00FB0E7F">
        <w:rPr>
          <w:rFonts w:ascii="Trebuchet MS" w:eastAsia="Times New Roman" w:hAnsi="Trebuchet MS" w:cs="Arial"/>
          <w:color w:val="000000"/>
          <w:lang w:val="en-US"/>
        </w:rPr>
        <w:t>Common pitfalls arise when applications do not respond specifically to the criterion/sub-criterion and/or there is a lack of information about how and when the course assesses students in relation to the criteria.  In addition, misunderstanding might arise concerning the kind of evidence that assessors might be looking for.  Examples of pitfalls are provided in relation to the following criteria:</w:t>
      </w:r>
    </w:p>
    <w:p w14:paraId="46EFB2D9" w14:textId="77777777" w:rsidR="00FB0E7F" w:rsidRPr="00FB0E7F" w:rsidRDefault="00FB0E7F" w:rsidP="00FB0E7F">
      <w:pPr>
        <w:spacing w:after="0" w:line="240" w:lineRule="auto"/>
        <w:rPr>
          <w:rFonts w:ascii="Trebuchet MS" w:eastAsia="Times New Roman" w:hAnsi="Trebuchet MS" w:cs="Arial"/>
          <w:color w:val="000000"/>
          <w:lang w:val="en-US"/>
        </w:rPr>
      </w:pPr>
    </w:p>
    <w:p w14:paraId="74ACFAE2" w14:textId="77777777" w:rsidR="00FB0E7F" w:rsidRPr="0039193D" w:rsidRDefault="00FB0E7F" w:rsidP="00FB0E7F">
      <w:pPr>
        <w:pBdr>
          <w:bottom w:val="single" w:sz="24" w:space="1" w:color="7030A0"/>
        </w:pBdr>
        <w:autoSpaceDE w:val="0"/>
        <w:snapToGrid w:val="0"/>
        <w:spacing w:after="0" w:line="240" w:lineRule="auto"/>
        <w:rPr>
          <w:rFonts w:ascii="Trebuchet MS" w:eastAsia="Times New Roman" w:hAnsi="Trebuchet MS" w:cs="Arial"/>
          <w:b/>
          <w:color w:val="31006F" w:themeColor="accent1"/>
          <w:lang w:val="en-US"/>
        </w:rPr>
      </w:pPr>
      <w:r w:rsidRPr="0039193D">
        <w:rPr>
          <w:rFonts w:ascii="Trebuchet MS" w:eastAsia="Times New Roman" w:hAnsi="Trebuchet MS" w:cs="Arial"/>
          <w:b/>
          <w:color w:val="31006F" w:themeColor="accent1"/>
          <w:lang w:val="en-US"/>
        </w:rPr>
        <w:t xml:space="preserve">B6.5, B6.7, B6.8 I and B6.10 </w:t>
      </w:r>
      <w:proofErr w:type="spellStart"/>
      <w:r w:rsidRPr="0039193D">
        <w:rPr>
          <w:rFonts w:ascii="Trebuchet MS" w:eastAsia="Times New Roman" w:hAnsi="Trebuchet MS" w:cs="Arial"/>
          <w:b/>
          <w:color w:val="31006F" w:themeColor="accent1"/>
          <w:lang w:val="en-US"/>
        </w:rPr>
        <w:t>i</w:t>
      </w:r>
      <w:proofErr w:type="spellEnd"/>
      <w:r w:rsidRPr="0039193D">
        <w:rPr>
          <w:rFonts w:ascii="Trebuchet MS" w:eastAsia="Times New Roman" w:hAnsi="Trebuchet MS" w:cs="Arial"/>
          <w:b/>
          <w:color w:val="31006F" w:themeColor="accent1"/>
          <w:lang w:val="en-US"/>
        </w:rPr>
        <w:t>-iv</w:t>
      </w:r>
    </w:p>
    <w:p w14:paraId="2B2197F4" w14:textId="77777777" w:rsidR="00FB0E7F" w:rsidRPr="00FB0E7F" w:rsidRDefault="00FB0E7F" w:rsidP="00FB0E7F">
      <w:pPr>
        <w:spacing w:after="0" w:line="240" w:lineRule="auto"/>
        <w:rPr>
          <w:rFonts w:ascii="Trebuchet MS" w:eastAsia="Times New Roman" w:hAnsi="Trebuchet MS" w:cs="Arial"/>
          <w:color w:val="000000"/>
          <w:lang w:val="en-US"/>
        </w:rPr>
      </w:pPr>
      <w:r w:rsidRPr="00FB0E7F">
        <w:rPr>
          <w:rFonts w:ascii="Trebuchet MS" w:eastAsia="Times New Roman" w:hAnsi="Trebuchet MS" w:cs="Arial"/>
          <w:color w:val="000000"/>
          <w:lang w:val="en-US"/>
        </w:rPr>
        <w:t>Learning/reflective journals may be used as evidence for criteria relating to the way courses encourage students to develop reflective skills and self-awareness.  However, they may not be used as evidence relating to the way courses assess the development of self-awareness in their students.</w:t>
      </w:r>
    </w:p>
    <w:p w14:paraId="42CF3C30" w14:textId="77777777" w:rsidR="00FB0E7F" w:rsidRPr="00FB0E7F" w:rsidRDefault="00FB0E7F" w:rsidP="00FB0E7F">
      <w:pPr>
        <w:spacing w:after="0" w:line="240" w:lineRule="auto"/>
        <w:rPr>
          <w:rFonts w:ascii="Trebuchet MS" w:eastAsia="Times New Roman" w:hAnsi="Trebuchet MS" w:cs="Arial"/>
          <w:color w:val="000000"/>
          <w:lang w:val="en-US"/>
        </w:rPr>
      </w:pPr>
    </w:p>
    <w:p w14:paraId="2344E165" w14:textId="77777777" w:rsidR="00FB0E7F" w:rsidRPr="00FB0E7F" w:rsidRDefault="00FB0E7F" w:rsidP="00FB0E7F">
      <w:pPr>
        <w:spacing w:after="0" w:line="240" w:lineRule="auto"/>
        <w:rPr>
          <w:rFonts w:ascii="Trebuchet MS" w:eastAsia="Times New Roman" w:hAnsi="Trebuchet MS" w:cs="Arial"/>
          <w:color w:val="000000"/>
          <w:lang w:val="en-US"/>
        </w:rPr>
      </w:pPr>
      <w:r w:rsidRPr="00FB0E7F">
        <w:rPr>
          <w:rFonts w:ascii="Trebuchet MS" w:eastAsia="Times New Roman" w:hAnsi="Trebuchet MS" w:cs="Arial"/>
          <w:color w:val="000000"/>
          <w:lang w:val="en-US"/>
        </w:rPr>
        <w:t>The personal nature of student reflective learning journals means that formal assessment of the content is inappropriate. Where students draw upon their journals as a source for assignments reflecting on their own personal learning and development, assignments may be formally assessed and used as evidence for these criteria. This is because the student has control over the material selected for use in the assignment.</w:t>
      </w:r>
    </w:p>
    <w:p w14:paraId="24879F02" w14:textId="77777777" w:rsidR="00FB0E7F" w:rsidRPr="00FB0E7F" w:rsidRDefault="00FB0E7F" w:rsidP="00FB0E7F">
      <w:pPr>
        <w:autoSpaceDE w:val="0"/>
        <w:snapToGrid w:val="0"/>
        <w:spacing w:after="0" w:line="240" w:lineRule="auto"/>
        <w:rPr>
          <w:rFonts w:ascii="Trebuchet MS" w:eastAsia="Times New Roman" w:hAnsi="Trebuchet MS" w:cs="HelveticaNeueLTStd-Md"/>
          <w:b/>
          <w:color w:val="000000"/>
          <w:lang w:val="en-US"/>
        </w:rPr>
      </w:pPr>
    </w:p>
    <w:p w14:paraId="01EBD5DD" w14:textId="77777777" w:rsidR="00FB0E7F" w:rsidRPr="0039193D" w:rsidRDefault="00FB0E7F" w:rsidP="00FB0E7F">
      <w:pPr>
        <w:pBdr>
          <w:bottom w:val="single" w:sz="24" w:space="1" w:color="7030A0"/>
        </w:pBdr>
        <w:autoSpaceDE w:val="0"/>
        <w:snapToGrid w:val="0"/>
        <w:spacing w:after="0" w:line="240" w:lineRule="auto"/>
        <w:rPr>
          <w:rFonts w:ascii="Trebuchet MS" w:eastAsia="Times New Roman" w:hAnsi="Trebuchet MS" w:cs="Arial"/>
          <w:b/>
          <w:color w:val="31006F" w:themeColor="accent1"/>
          <w:lang w:val="en-US"/>
        </w:rPr>
      </w:pPr>
      <w:r w:rsidRPr="0039193D">
        <w:rPr>
          <w:rFonts w:ascii="Trebuchet MS" w:eastAsia="Times New Roman" w:hAnsi="Trebuchet MS" w:cs="Arial"/>
          <w:b/>
          <w:color w:val="31006F" w:themeColor="accent1"/>
          <w:lang w:val="en-US"/>
        </w:rPr>
        <w:t xml:space="preserve">B6.4 </w:t>
      </w:r>
    </w:p>
    <w:p w14:paraId="4F78335C" w14:textId="5960A76C" w:rsidR="00FB0E7F" w:rsidRDefault="00FB0E7F" w:rsidP="0039193D">
      <w:pPr>
        <w:shd w:val="clear" w:color="auto" w:fill="F0E5FF"/>
        <w:autoSpaceDE w:val="0"/>
        <w:snapToGrid w:val="0"/>
        <w:spacing w:after="0" w:line="240" w:lineRule="auto"/>
        <w:rPr>
          <w:rFonts w:ascii="Trebuchet MS" w:eastAsia="Times New Roman" w:hAnsi="Trebuchet MS" w:cs="Arial"/>
          <w:b/>
          <w:color w:val="000000"/>
          <w:lang w:val="en-US"/>
        </w:rPr>
      </w:pPr>
      <w:r w:rsidRPr="00FB0E7F">
        <w:rPr>
          <w:rFonts w:ascii="Trebuchet MS" w:eastAsia="Times New Roman" w:hAnsi="Trebuchet MS" w:cs="Arial"/>
          <w:b/>
          <w:color w:val="000000"/>
          <w:lang w:val="en-US"/>
        </w:rPr>
        <w:t>To ensure public safety, the course must assess students at appropriate key stages throughout the training for:</w:t>
      </w:r>
    </w:p>
    <w:p w14:paraId="6C03B5CB" w14:textId="77777777" w:rsidR="0039193D" w:rsidRPr="00FB0E7F" w:rsidRDefault="0039193D" w:rsidP="0039193D">
      <w:pPr>
        <w:shd w:val="clear" w:color="auto" w:fill="F0E5FF"/>
        <w:autoSpaceDE w:val="0"/>
        <w:snapToGrid w:val="0"/>
        <w:spacing w:after="0" w:line="240" w:lineRule="auto"/>
        <w:rPr>
          <w:rFonts w:ascii="Trebuchet MS" w:eastAsia="Times New Roman" w:hAnsi="Trebuchet MS" w:cs="Arial"/>
          <w:b/>
          <w:color w:val="000000"/>
          <w:lang w:val="en-US"/>
        </w:rPr>
      </w:pPr>
    </w:p>
    <w:p w14:paraId="5157337B" w14:textId="77777777" w:rsidR="00FB0E7F" w:rsidRPr="00FB0E7F" w:rsidRDefault="00FB0E7F" w:rsidP="0039193D">
      <w:pPr>
        <w:shd w:val="clear" w:color="auto" w:fill="F0E5FF"/>
        <w:autoSpaceDE w:val="0"/>
        <w:snapToGrid w:val="0"/>
        <w:spacing w:after="0" w:line="240" w:lineRule="auto"/>
        <w:rPr>
          <w:rFonts w:ascii="Trebuchet MS" w:eastAsia="Times New Roman" w:hAnsi="Trebuchet MS" w:cs="Arial"/>
          <w:b/>
          <w:color w:val="000000"/>
          <w:lang w:val="en-US"/>
        </w:rPr>
      </w:pPr>
      <w:proofErr w:type="spellStart"/>
      <w:r w:rsidRPr="00FB0E7F">
        <w:rPr>
          <w:rFonts w:ascii="Trebuchet MS" w:eastAsia="Times New Roman" w:hAnsi="Trebuchet MS" w:cs="Arial"/>
          <w:b/>
          <w:color w:val="000000"/>
          <w:lang w:val="en-US"/>
        </w:rPr>
        <w:t>i</w:t>
      </w:r>
      <w:proofErr w:type="spellEnd"/>
      <w:r w:rsidRPr="00FB0E7F">
        <w:rPr>
          <w:rFonts w:ascii="Trebuchet MS" w:eastAsia="Times New Roman" w:hAnsi="Trebuchet MS" w:cs="Arial"/>
          <w:b/>
          <w:color w:val="000000"/>
          <w:lang w:val="en-US"/>
        </w:rPr>
        <w:t xml:space="preserve">. readiness/competence to </w:t>
      </w:r>
      <w:proofErr w:type="spellStart"/>
      <w:r w:rsidRPr="00FB0E7F">
        <w:rPr>
          <w:rFonts w:ascii="Trebuchet MS" w:eastAsia="Times New Roman" w:hAnsi="Trebuchet MS" w:cs="Arial"/>
          <w:b/>
          <w:color w:val="000000"/>
          <w:lang w:val="en-US"/>
        </w:rPr>
        <w:t>practise</w:t>
      </w:r>
      <w:proofErr w:type="spellEnd"/>
      <w:r w:rsidRPr="00FB0E7F">
        <w:rPr>
          <w:rFonts w:ascii="Trebuchet MS" w:eastAsia="Times New Roman" w:hAnsi="Trebuchet MS" w:cs="Arial"/>
          <w:b/>
          <w:color w:val="000000"/>
          <w:lang w:val="en-US"/>
        </w:rPr>
        <w:t xml:space="preserve"> counselling/psychotherapy and;</w:t>
      </w:r>
    </w:p>
    <w:p w14:paraId="195EC51C" w14:textId="77777777" w:rsidR="00FB0E7F" w:rsidRPr="00FB0E7F" w:rsidRDefault="00FB0E7F" w:rsidP="0039193D">
      <w:pPr>
        <w:shd w:val="clear" w:color="auto" w:fill="F0E5FF"/>
        <w:autoSpaceDE w:val="0"/>
        <w:snapToGrid w:val="0"/>
        <w:spacing w:after="0" w:line="240" w:lineRule="auto"/>
        <w:rPr>
          <w:rFonts w:ascii="Trebuchet MS" w:eastAsia="Times New Roman" w:hAnsi="Trebuchet MS" w:cs="Arial"/>
          <w:b/>
          <w:color w:val="000000"/>
          <w:lang w:val="en-US"/>
        </w:rPr>
      </w:pPr>
      <w:r w:rsidRPr="00FB0E7F">
        <w:rPr>
          <w:rFonts w:ascii="Trebuchet MS" w:eastAsia="Times New Roman" w:hAnsi="Trebuchet MS" w:cs="Arial"/>
          <w:b/>
          <w:color w:val="000000"/>
          <w:lang w:val="en-US"/>
        </w:rPr>
        <w:t>ii. the ability to monitor and manage the therapeutic process.</w:t>
      </w:r>
    </w:p>
    <w:p w14:paraId="63BC8B53" w14:textId="77777777" w:rsidR="00FB0E7F" w:rsidRPr="00FB0E7F" w:rsidRDefault="00FB0E7F" w:rsidP="00FB0E7F">
      <w:pPr>
        <w:spacing w:after="0" w:line="240" w:lineRule="auto"/>
        <w:rPr>
          <w:rFonts w:ascii="Trebuchet MS" w:eastAsia="Times New Roman" w:hAnsi="Trebuchet MS" w:cs="Arial"/>
          <w:color w:val="000000"/>
          <w:lang w:val="en-US"/>
        </w:rPr>
      </w:pPr>
    </w:p>
    <w:p w14:paraId="5339EC48" w14:textId="77777777" w:rsidR="00FB0E7F" w:rsidRPr="00FB0E7F" w:rsidRDefault="00FB0E7F" w:rsidP="00FB0E7F">
      <w:pPr>
        <w:spacing w:after="0" w:line="240" w:lineRule="auto"/>
        <w:rPr>
          <w:rFonts w:ascii="Trebuchet MS" w:eastAsia="Times New Roman" w:hAnsi="Trebuchet MS" w:cs="Arial"/>
          <w:color w:val="000000"/>
          <w:lang w:val="en-US"/>
        </w:rPr>
      </w:pPr>
      <w:r w:rsidRPr="00FB0E7F">
        <w:rPr>
          <w:rFonts w:ascii="Trebuchet MS" w:eastAsia="Times New Roman" w:hAnsi="Trebuchet MS" w:cs="Arial"/>
          <w:color w:val="000000"/>
          <w:lang w:val="en-US"/>
        </w:rPr>
        <w:t>Sending a general response which is not specifically addressing the criterion will not provide the required evidence.  Clear information is required about how and when the course assesses students throughout the training (i.e. at various stages on the course) for readiness/competence to practice counselling and psychotherapy and the ability to monitor and manage the therapeutic process.  This may be evidenced in a number of ways, including for example, schemes of work; course time-tables, relevant section within student handbooks (clearly cross-referenced to the appropriate page/paragraph); session plans; specific assessment criteria in the form of an assessment grid; skills/therapeutic monitoring feedback form; etc.  In addition, evidence of how the course formatively assesses students may also be included, for example experiential groups, personal development groups and in-house group supervision.  This is not an exhaustive list of evidence as courses may assess students in a number of different ways.</w:t>
      </w:r>
    </w:p>
    <w:p w14:paraId="702A6D08" w14:textId="77777777" w:rsidR="00FB0E7F" w:rsidRPr="00FB0E7F" w:rsidRDefault="00FB0E7F" w:rsidP="00FB0E7F">
      <w:pPr>
        <w:autoSpaceDE w:val="0"/>
        <w:snapToGrid w:val="0"/>
        <w:spacing w:after="0" w:line="240" w:lineRule="auto"/>
        <w:rPr>
          <w:rFonts w:ascii="Trebuchet MS" w:eastAsia="Times New Roman" w:hAnsi="Trebuchet MS" w:cs="Arial"/>
          <w:b/>
          <w:i/>
          <w:color w:val="000000"/>
          <w:lang w:val="en-US"/>
        </w:rPr>
      </w:pPr>
    </w:p>
    <w:p w14:paraId="26A5B4CF" w14:textId="77777777" w:rsidR="00FB0E7F" w:rsidRPr="008F2DF5" w:rsidRDefault="00FB0E7F" w:rsidP="00FB0E7F">
      <w:pPr>
        <w:pBdr>
          <w:bottom w:val="single" w:sz="24" w:space="1" w:color="7030A0"/>
        </w:pBdr>
        <w:autoSpaceDE w:val="0"/>
        <w:snapToGrid w:val="0"/>
        <w:spacing w:after="0" w:line="240" w:lineRule="auto"/>
        <w:rPr>
          <w:rFonts w:ascii="Trebuchet MS" w:eastAsia="Times New Roman" w:hAnsi="Trebuchet MS" w:cs="Arial"/>
          <w:b/>
          <w:color w:val="31006F" w:themeColor="accent1"/>
          <w:lang w:val="en-US"/>
        </w:rPr>
      </w:pPr>
      <w:r w:rsidRPr="008F2DF5">
        <w:rPr>
          <w:rFonts w:ascii="Trebuchet MS" w:eastAsia="Times New Roman" w:hAnsi="Trebuchet MS" w:cs="Arial"/>
          <w:b/>
          <w:color w:val="31006F" w:themeColor="accent1"/>
          <w:lang w:val="en-US"/>
        </w:rPr>
        <w:t xml:space="preserve">B6.6 </w:t>
      </w:r>
    </w:p>
    <w:p w14:paraId="3E162811" w14:textId="77777777" w:rsidR="00FB0E7F" w:rsidRPr="00FB0E7F" w:rsidRDefault="00FB0E7F" w:rsidP="008F2DF5">
      <w:pPr>
        <w:shd w:val="clear" w:color="auto" w:fill="F0E5FF"/>
        <w:autoSpaceDE w:val="0"/>
        <w:snapToGrid w:val="0"/>
        <w:spacing w:after="0" w:line="240" w:lineRule="auto"/>
        <w:rPr>
          <w:rFonts w:ascii="Trebuchet MS" w:eastAsia="Times New Roman" w:hAnsi="Trebuchet MS" w:cs="Arial"/>
          <w:b/>
          <w:color w:val="000000"/>
          <w:lang w:val="en-US"/>
        </w:rPr>
      </w:pPr>
      <w:r w:rsidRPr="00FB0E7F">
        <w:rPr>
          <w:rFonts w:ascii="Trebuchet MS" w:eastAsia="Times New Roman" w:hAnsi="Trebuchet MS" w:cs="Arial"/>
          <w:b/>
          <w:color w:val="000000"/>
          <w:lang w:val="en-US"/>
        </w:rPr>
        <w:lastRenderedPageBreak/>
        <w:t>Formal procedures must be in place to terminate the training of incompetent, incapable or ethically unsound trainees.</w:t>
      </w:r>
    </w:p>
    <w:p w14:paraId="730BD6DC" w14:textId="77777777" w:rsidR="00FB0E7F" w:rsidRPr="00FB0E7F" w:rsidRDefault="00FB0E7F" w:rsidP="00FB0E7F">
      <w:pPr>
        <w:autoSpaceDE w:val="0"/>
        <w:snapToGrid w:val="0"/>
        <w:spacing w:after="0" w:line="240" w:lineRule="auto"/>
        <w:rPr>
          <w:rFonts w:ascii="Trebuchet MS" w:eastAsia="Times New Roman" w:hAnsi="Trebuchet MS" w:cs="Arial"/>
          <w:color w:val="000000"/>
          <w:lang w:val="en-US"/>
        </w:rPr>
      </w:pPr>
    </w:p>
    <w:p w14:paraId="283EA917" w14:textId="77777777" w:rsidR="00FB0E7F" w:rsidRPr="00FB0E7F" w:rsidRDefault="00FB0E7F" w:rsidP="00FB0E7F">
      <w:pPr>
        <w:spacing w:after="0" w:line="240" w:lineRule="auto"/>
        <w:rPr>
          <w:rFonts w:ascii="Trebuchet MS" w:eastAsia="Times New Roman" w:hAnsi="Trebuchet MS" w:cs="Arial"/>
          <w:color w:val="000000"/>
          <w:lang w:val="en-US"/>
        </w:rPr>
      </w:pPr>
      <w:r w:rsidRPr="00FB0E7F">
        <w:rPr>
          <w:rFonts w:ascii="Trebuchet MS" w:eastAsia="Times New Roman" w:hAnsi="Trebuchet MS" w:cs="Arial"/>
          <w:color w:val="000000"/>
          <w:lang w:val="en-US"/>
        </w:rPr>
        <w:t xml:space="preserve">Providing a vague statement about what the course might do in this situation is a common pitfall.  This would not meet the criterion as we expect courses to have a clear procedure in place which should be evidenced in the application.  This procedure may be part of a wider institutional policy which may apply to other professional training courses delivered by the provider, or it may be individual to the course.  In either case, a formal procedure will need to be provided as evidence for this criterion.  The procedure must outline specifically the steps that the course will take in the case of incompetence or ethically unsound </w:t>
      </w:r>
      <w:proofErr w:type="spellStart"/>
      <w:r w:rsidRPr="00FB0E7F">
        <w:rPr>
          <w:rFonts w:ascii="Trebuchet MS" w:eastAsia="Times New Roman" w:hAnsi="Trebuchet MS" w:cs="Arial"/>
          <w:color w:val="000000"/>
          <w:lang w:val="en-US"/>
        </w:rPr>
        <w:t>behaviour</w:t>
      </w:r>
      <w:proofErr w:type="spellEnd"/>
      <w:r w:rsidRPr="00FB0E7F">
        <w:rPr>
          <w:rFonts w:ascii="Trebuchet MS" w:eastAsia="Times New Roman" w:hAnsi="Trebuchet MS" w:cs="Arial"/>
          <w:color w:val="000000"/>
          <w:lang w:val="en-US"/>
        </w:rPr>
        <w:t>/practice to the point of termination of studies.</w:t>
      </w:r>
    </w:p>
    <w:p w14:paraId="06E991E1" w14:textId="77777777" w:rsidR="00FB0E7F" w:rsidRPr="00FB0E7F" w:rsidRDefault="00FB0E7F" w:rsidP="00FB0E7F">
      <w:pPr>
        <w:spacing w:after="0" w:line="240" w:lineRule="auto"/>
        <w:rPr>
          <w:rFonts w:ascii="Trebuchet MS" w:eastAsia="Times New Roman" w:hAnsi="Trebuchet MS" w:cs="Arial"/>
          <w:color w:val="000000"/>
          <w:lang w:val="en-US"/>
        </w:rPr>
      </w:pPr>
    </w:p>
    <w:p w14:paraId="498E12E5" w14:textId="77777777" w:rsidR="00FB0E7F" w:rsidRPr="008F2DF5" w:rsidRDefault="00FB0E7F" w:rsidP="00FB0E7F">
      <w:pPr>
        <w:pBdr>
          <w:bottom w:val="single" w:sz="24" w:space="1" w:color="7030A0"/>
        </w:pBdr>
        <w:tabs>
          <w:tab w:val="left" w:pos="5475"/>
        </w:tabs>
        <w:spacing w:after="0" w:line="240" w:lineRule="auto"/>
        <w:rPr>
          <w:rFonts w:ascii="Trebuchet MS" w:eastAsia="Times New Roman" w:hAnsi="Trebuchet MS" w:cs="Arial"/>
          <w:b/>
          <w:color w:val="31006F" w:themeColor="accent1"/>
          <w:lang w:val="en-US"/>
        </w:rPr>
      </w:pPr>
      <w:r w:rsidRPr="008F2DF5">
        <w:rPr>
          <w:rFonts w:ascii="Trebuchet MS" w:eastAsia="Times New Roman" w:hAnsi="Trebuchet MS" w:cs="Arial"/>
          <w:b/>
          <w:color w:val="31006F" w:themeColor="accent1"/>
          <w:lang w:val="en-US"/>
        </w:rPr>
        <w:t xml:space="preserve">B6.9 </w:t>
      </w:r>
    </w:p>
    <w:p w14:paraId="6A77B0D5" w14:textId="77777777" w:rsidR="00FB0E7F" w:rsidRPr="00FB0E7F" w:rsidRDefault="00FB0E7F" w:rsidP="008F2DF5">
      <w:pPr>
        <w:shd w:val="clear" w:color="auto" w:fill="F0E5FF"/>
        <w:tabs>
          <w:tab w:val="left" w:pos="5475"/>
        </w:tabs>
        <w:spacing w:after="0" w:line="240" w:lineRule="auto"/>
        <w:rPr>
          <w:rFonts w:ascii="Trebuchet MS" w:eastAsia="Times New Roman" w:hAnsi="Trebuchet MS" w:cs="Arial"/>
          <w:b/>
          <w:color w:val="000000"/>
          <w:lang w:val="en-US"/>
        </w:rPr>
      </w:pPr>
      <w:r w:rsidRPr="00FB0E7F">
        <w:rPr>
          <w:rFonts w:ascii="Trebuchet MS" w:eastAsia="Times New Roman" w:hAnsi="Trebuchet MS" w:cs="Arial"/>
          <w:b/>
          <w:color w:val="000000"/>
          <w:lang w:val="en-US"/>
        </w:rPr>
        <w:t xml:space="preserve">The course should provide evidence that students are assessed against clear and specific criteria as being competent to </w:t>
      </w:r>
      <w:proofErr w:type="spellStart"/>
      <w:r w:rsidRPr="00FB0E7F">
        <w:rPr>
          <w:rFonts w:ascii="Trebuchet MS" w:eastAsia="Times New Roman" w:hAnsi="Trebuchet MS" w:cs="Arial"/>
          <w:b/>
          <w:color w:val="000000"/>
          <w:lang w:val="en-US"/>
        </w:rPr>
        <w:t>practise</w:t>
      </w:r>
      <w:proofErr w:type="spellEnd"/>
      <w:r w:rsidRPr="00FB0E7F">
        <w:rPr>
          <w:rFonts w:ascii="Trebuchet MS" w:eastAsia="Times New Roman" w:hAnsi="Trebuchet MS" w:cs="Arial"/>
          <w:b/>
          <w:color w:val="000000"/>
          <w:lang w:val="en-US"/>
        </w:rPr>
        <w:t xml:space="preserve"> with real clients.</w:t>
      </w:r>
    </w:p>
    <w:p w14:paraId="0CC7CCD3" w14:textId="77777777" w:rsidR="00FB0E7F" w:rsidRPr="00FB0E7F" w:rsidRDefault="00FB0E7F" w:rsidP="00FB0E7F">
      <w:pPr>
        <w:autoSpaceDE w:val="0"/>
        <w:snapToGrid w:val="0"/>
        <w:spacing w:after="0" w:line="240" w:lineRule="auto"/>
        <w:rPr>
          <w:rFonts w:ascii="Trebuchet MS" w:eastAsia="Times New Roman" w:hAnsi="Trebuchet MS" w:cs="Arial"/>
          <w:color w:val="000000"/>
          <w:lang w:val="en-US"/>
        </w:rPr>
      </w:pPr>
    </w:p>
    <w:p w14:paraId="68096E47" w14:textId="77777777" w:rsidR="00FB0E7F" w:rsidRPr="00FB0E7F" w:rsidRDefault="00FB0E7F" w:rsidP="00FB0E7F">
      <w:pPr>
        <w:spacing w:after="0" w:line="240" w:lineRule="auto"/>
        <w:rPr>
          <w:rFonts w:ascii="Trebuchet MS" w:eastAsia="Times New Roman" w:hAnsi="Trebuchet MS" w:cs="Arial"/>
          <w:color w:val="000000"/>
          <w:lang w:val="en-US"/>
        </w:rPr>
      </w:pPr>
      <w:r w:rsidRPr="00FB0E7F">
        <w:rPr>
          <w:rFonts w:ascii="Trebuchet MS" w:eastAsia="Times New Roman" w:hAnsi="Trebuchet MS" w:cs="Arial"/>
          <w:color w:val="000000"/>
          <w:lang w:val="en-US"/>
        </w:rPr>
        <w:t>Successful applications provide evidence of assessment against clear and specific criteria.  This is a requirement in order to meet this criterion (see examples of evidence above).</w:t>
      </w:r>
    </w:p>
    <w:p w14:paraId="4CD87967" w14:textId="77777777" w:rsidR="00FB0E7F" w:rsidRPr="00FB0E7F" w:rsidRDefault="00FB0E7F" w:rsidP="00FB0E7F">
      <w:pPr>
        <w:spacing w:after="0" w:line="240" w:lineRule="auto"/>
        <w:rPr>
          <w:rFonts w:ascii="Trebuchet MS" w:eastAsia="Times New Roman" w:hAnsi="Trebuchet MS" w:cs="Arial"/>
          <w:color w:val="000000"/>
          <w:lang w:val="en-US"/>
        </w:rPr>
      </w:pPr>
      <w:r w:rsidRPr="00FB0E7F">
        <w:rPr>
          <w:rFonts w:ascii="Trebuchet MS" w:eastAsia="Times New Roman" w:hAnsi="Trebuchet MS" w:cs="Arial"/>
          <w:color w:val="000000"/>
          <w:lang w:val="en-US"/>
        </w:rPr>
        <w:t xml:space="preserve">A problem may arise if the same evidence previously submitted for B6.4 is provided to meet this criterion.  However, this criterion is distinctive from B6.4 as the former requires the course to show how and when it assesses students throughout the training for readiness/competence to practice counselling and psychotherapy and the ability to monitor and manage the therapeutic process (see guidance above)..  B6.9 however, requires that the course demonstrates that students are assessed against clear and specific criteria as being competent to practice with real clients. The course needs to provide </w:t>
      </w:r>
      <w:r w:rsidRPr="00FB0E7F">
        <w:rPr>
          <w:rFonts w:ascii="Trebuchet MS" w:eastAsia="Times New Roman" w:hAnsi="Trebuchet MS" w:cs="Arial"/>
          <w:i/>
          <w:color w:val="000000"/>
          <w:lang w:val="en-US"/>
        </w:rPr>
        <w:t>specific evidence</w:t>
      </w:r>
      <w:r w:rsidRPr="00FB0E7F">
        <w:rPr>
          <w:rFonts w:ascii="Trebuchet MS" w:eastAsia="Times New Roman" w:hAnsi="Trebuchet MS" w:cs="Arial"/>
          <w:color w:val="000000"/>
          <w:lang w:val="en-US"/>
        </w:rPr>
        <w:t xml:space="preserve"> of the criteria used for assessment of student competence to practice with real clients.</w:t>
      </w:r>
    </w:p>
    <w:p w14:paraId="27B63591" w14:textId="77777777" w:rsidR="00FB0E7F" w:rsidRPr="00FB0E7F" w:rsidRDefault="00FB0E7F" w:rsidP="00FB0E7F">
      <w:pPr>
        <w:spacing w:after="0" w:line="240" w:lineRule="auto"/>
        <w:rPr>
          <w:rFonts w:ascii="Trebuchet MS" w:eastAsia="Times New Roman" w:hAnsi="Trebuchet MS" w:cs="Arial"/>
          <w:b/>
          <w:i/>
          <w:color w:val="000000"/>
          <w:lang w:val="en-US"/>
        </w:rPr>
      </w:pPr>
    </w:p>
    <w:p w14:paraId="1431CAA7" w14:textId="77777777" w:rsidR="00FB0E7F" w:rsidRPr="008F2DF5" w:rsidRDefault="00FB0E7F" w:rsidP="00FB0E7F">
      <w:pPr>
        <w:pBdr>
          <w:bottom w:val="single" w:sz="24" w:space="1" w:color="7030A0"/>
        </w:pBdr>
        <w:spacing w:after="0" w:line="240" w:lineRule="auto"/>
        <w:rPr>
          <w:rFonts w:ascii="Trebuchet MS" w:eastAsia="Times New Roman" w:hAnsi="Trebuchet MS" w:cs="Arial"/>
          <w:b/>
          <w:color w:val="31006F" w:themeColor="accent1"/>
          <w:lang w:val="en-US"/>
        </w:rPr>
      </w:pPr>
      <w:r w:rsidRPr="008F2DF5">
        <w:rPr>
          <w:rFonts w:ascii="Trebuchet MS" w:eastAsia="Times New Roman" w:hAnsi="Trebuchet MS" w:cs="Arial"/>
          <w:b/>
          <w:color w:val="31006F" w:themeColor="accent1"/>
          <w:lang w:val="en-US"/>
        </w:rPr>
        <w:t xml:space="preserve">B6.10 </w:t>
      </w:r>
    </w:p>
    <w:p w14:paraId="55382D60" w14:textId="77777777" w:rsidR="00FB0E7F" w:rsidRPr="00FB0E7F" w:rsidRDefault="00FB0E7F" w:rsidP="008F2DF5">
      <w:pPr>
        <w:shd w:val="clear" w:color="auto" w:fill="F0E5FF"/>
        <w:spacing w:after="0" w:line="240" w:lineRule="auto"/>
        <w:rPr>
          <w:rFonts w:ascii="Trebuchet MS" w:eastAsia="Times New Roman" w:hAnsi="Trebuchet MS" w:cs="Arial"/>
          <w:b/>
          <w:color w:val="000000"/>
          <w:lang w:val="en-US"/>
        </w:rPr>
      </w:pPr>
      <w:r w:rsidRPr="00FB0E7F">
        <w:rPr>
          <w:rFonts w:ascii="Trebuchet MS" w:eastAsia="Times New Roman" w:hAnsi="Trebuchet MS" w:cs="Arial"/>
          <w:b/>
          <w:color w:val="000000"/>
          <w:lang w:val="en-US"/>
        </w:rPr>
        <w:t xml:space="preserve">The course must provide clear evidence of the development of the following attributes in students: - criteria </w:t>
      </w:r>
      <w:proofErr w:type="spellStart"/>
      <w:r w:rsidRPr="00FB0E7F">
        <w:rPr>
          <w:rFonts w:ascii="Trebuchet MS" w:eastAsia="Times New Roman" w:hAnsi="Trebuchet MS" w:cs="Arial"/>
          <w:b/>
          <w:color w:val="000000"/>
          <w:lang w:val="en-US"/>
        </w:rPr>
        <w:t>i</w:t>
      </w:r>
      <w:proofErr w:type="spellEnd"/>
      <w:r w:rsidRPr="00FB0E7F">
        <w:rPr>
          <w:rFonts w:ascii="Trebuchet MS" w:eastAsia="Times New Roman" w:hAnsi="Trebuchet MS" w:cs="Arial"/>
          <w:b/>
          <w:color w:val="000000"/>
          <w:lang w:val="en-US"/>
        </w:rPr>
        <w:t>. to x.</w:t>
      </w:r>
    </w:p>
    <w:p w14:paraId="2A158DB4" w14:textId="77777777" w:rsidR="008F2DF5" w:rsidRDefault="008F2DF5" w:rsidP="00FB0E7F">
      <w:pPr>
        <w:spacing w:after="0" w:line="240" w:lineRule="auto"/>
        <w:rPr>
          <w:rFonts w:ascii="Trebuchet MS" w:eastAsia="Times New Roman" w:hAnsi="Trebuchet MS" w:cs="Arial"/>
          <w:color w:val="000000"/>
          <w:lang w:val="en-US"/>
        </w:rPr>
      </w:pPr>
    </w:p>
    <w:p w14:paraId="6731AB5E" w14:textId="5DDE093F" w:rsidR="00FB0E7F" w:rsidRPr="00FB0E7F" w:rsidRDefault="00FB0E7F" w:rsidP="00FB0E7F">
      <w:pPr>
        <w:spacing w:after="0" w:line="240" w:lineRule="auto"/>
        <w:rPr>
          <w:rFonts w:ascii="Trebuchet MS" w:eastAsia="Times New Roman" w:hAnsi="Trebuchet MS" w:cs="Arial"/>
          <w:color w:val="000000"/>
          <w:lang w:val="en-US"/>
        </w:rPr>
      </w:pPr>
      <w:r w:rsidRPr="00FB0E7F">
        <w:rPr>
          <w:rFonts w:ascii="Trebuchet MS" w:eastAsia="Times New Roman" w:hAnsi="Trebuchet MS" w:cs="Arial"/>
          <w:color w:val="000000"/>
          <w:lang w:val="en-US"/>
        </w:rPr>
        <w:t xml:space="preserve">Once again, it is important to ensure that each sub-criterion is addressed. Therefore applications providing specific evidence which is clearly cross-referenced to each sub-criterion, demonstrating how the course develops each of these attributes in students are more likely lead to a successful assessment outcome here. In cases where a course does not address and evidence each sub-criterion individually the assessor will be unable to ascertain whether or not the course develops these attributes in its students. </w:t>
      </w:r>
    </w:p>
    <w:p w14:paraId="778819C6" w14:textId="77777777" w:rsidR="00FB0E7F" w:rsidRPr="00FB0E7F" w:rsidRDefault="00FB0E7F" w:rsidP="00FB0E7F">
      <w:pPr>
        <w:spacing w:after="0" w:line="240" w:lineRule="auto"/>
        <w:rPr>
          <w:rFonts w:ascii="Arial" w:eastAsia="Times New Roman" w:hAnsi="Arial" w:cs="Arial"/>
          <w:color w:val="000000"/>
          <w:lang w:val="en-US"/>
        </w:rPr>
      </w:pPr>
    </w:p>
    <w:p w14:paraId="3B51BEF6" w14:textId="77777777" w:rsidR="00FB0E7F" w:rsidRPr="00FB0E7F" w:rsidRDefault="00FB0E7F" w:rsidP="00FB0E7F">
      <w:pPr>
        <w:spacing w:after="0" w:line="240" w:lineRule="auto"/>
        <w:rPr>
          <w:rFonts w:ascii="Arial" w:eastAsia="Calibri" w:hAnsi="Arial" w:cs="Times New Roman"/>
          <w:color w:val="000000"/>
        </w:rPr>
      </w:pPr>
    </w:p>
    <w:p w14:paraId="064052B6" w14:textId="77777777" w:rsidR="00643465" w:rsidRPr="00643465" w:rsidRDefault="00643465" w:rsidP="00663A86">
      <w:pPr>
        <w:spacing w:after="0"/>
        <w:rPr>
          <w:rFonts w:ascii="Trebuchet MS" w:hAnsi="Trebuchet MS" w:cs="Arial"/>
          <w:b/>
          <w:color w:val="E20E5A"/>
        </w:rPr>
      </w:pPr>
    </w:p>
    <w:p w14:paraId="66460E3B" w14:textId="77777777" w:rsidR="002714E5" w:rsidRDefault="002714E5" w:rsidP="00663A86">
      <w:pPr>
        <w:spacing w:after="0"/>
        <w:rPr>
          <w:rFonts w:ascii="Trebuchet MS" w:hAnsi="Trebuchet MS" w:cs="Arial"/>
          <w:b/>
          <w:color w:val="E20E5A"/>
        </w:rPr>
      </w:pPr>
    </w:p>
    <w:sectPr w:rsidR="002714E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4BB3" w14:textId="77777777" w:rsidR="00A9322B" w:rsidRDefault="00A9322B" w:rsidP="00A9322B">
      <w:pPr>
        <w:spacing w:after="0" w:line="240" w:lineRule="auto"/>
      </w:pPr>
      <w:r>
        <w:separator/>
      </w:r>
    </w:p>
  </w:endnote>
  <w:endnote w:type="continuationSeparator" w:id="0">
    <w:p w14:paraId="29454116" w14:textId="77777777" w:rsidR="00A9322B" w:rsidRDefault="00A9322B"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Std-Md">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0D39" w14:textId="49396382" w:rsidR="00A109C6" w:rsidRPr="009A6971" w:rsidRDefault="00A109C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A109C6" w:rsidRPr="009A6971" w:rsidRDefault="00A109C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432B" w14:textId="77777777" w:rsidR="00A9322B" w:rsidRDefault="00A9322B" w:rsidP="00A9322B">
      <w:pPr>
        <w:spacing w:after="0" w:line="240" w:lineRule="auto"/>
      </w:pPr>
      <w:r>
        <w:separator/>
      </w:r>
    </w:p>
  </w:footnote>
  <w:footnote w:type="continuationSeparator" w:id="0">
    <w:p w14:paraId="051528EC" w14:textId="77777777" w:rsidR="00A9322B" w:rsidRDefault="00A9322B"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0AF7"/>
    <w:multiLevelType w:val="hybridMultilevel"/>
    <w:tmpl w:val="C29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F37A7"/>
    <w:multiLevelType w:val="hybridMultilevel"/>
    <w:tmpl w:val="AA38C2FA"/>
    <w:lvl w:ilvl="0" w:tplc="E3EE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5B5F60"/>
    <w:multiLevelType w:val="hybridMultilevel"/>
    <w:tmpl w:val="BEC4F326"/>
    <w:lvl w:ilvl="0" w:tplc="1BE6CDAC">
      <w:start w:val="1"/>
      <w:numFmt w:val="lowerRoman"/>
      <w:lvlText w:val="%1)"/>
      <w:lvlJc w:val="left"/>
      <w:pPr>
        <w:ind w:left="1080" w:hanging="72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6D17F91"/>
    <w:multiLevelType w:val="hybridMultilevel"/>
    <w:tmpl w:val="D0ECA454"/>
    <w:lvl w:ilvl="0" w:tplc="E3A60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5676BD"/>
    <w:multiLevelType w:val="hybridMultilevel"/>
    <w:tmpl w:val="D06E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F3D"/>
    <w:rsid w:val="0004067C"/>
    <w:rsid w:val="000872F2"/>
    <w:rsid w:val="000973E7"/>
    <w:rsid w:val="001B226E"/>
    <w:rsid w:val="00245A9D"/>
    <w:rsid w:val="0026184B"/>
    <w:rsid w:val="002714E5"/>
    <w:rsid w:val="002850F9"/>
    <w:rsid w:val="002A3F3D"/>
    <w:rsid w:val="0032196E"/>
    <w:rsid w:val="0039193D"/>
    <w:rsid w:val="003C48A6"/>
    <w:rsid w:val="004B0E11"/>
    <w:rsid w:val="004E2D67"/>
    <w:rsid w:val="00501129"/>
    <w:rsid w:val="00515B18"/>
    <w:rsid w:val="00561264"/>
    <w:rsid w:val="005C6F5F"/>
    <w:rsid w:val="00642B04"/>
    <w:rsid w:val="00643465"/>
    <w:rsid w:val="00660F0E"/>
    <w:rsid w:val="00663A86"/>
    <w:rsid w:val="006B613B"/>
    <w:rsid w:val="006D1077"/>
    <w:rsid w:val="00733F4C"/>
    <w:rsid w:val="007400CB"/>
    <w:rsid w:val="00807CF4"/>
    <w:rsid w:val="00847697"/>
    <w:rsid w:val="00861054"/>
    <w:rsid w:val="00892DE6"/>
    <w:rsid w:val="008F2DF5"/>
    <w:rsid w:val="008F3633"/>
    <w:rsid w:val="00991A8F"/>
    <w:rsid w:val="009A6971"/>
    <w:rsid w:val="00A109C6"/>
    <w:rsid w:val="00A72A76"/>
    <w:rsid w:val="00A9322B"/>
    <w:rsid w:val="00B42C6E"/>
    <w:rsid w:val="00B54E4F"/>
    <w:rsid w:val="00B92425"/>
    <w:rsid w:val="00C109FA"/>
    <w:rsid w:val="00C55E30"/>
    <w:rsid w:val="00C90C15"/>
    <w:rsid w:val="00CA4DA2"/>
    <w:rsid w:val="00CB3B79"/>
    <w:rsid w:val="00CF4482"/>
    <w:rsid w:val="00D22401"/>
    <w:rsid w:val="00D32F3A"/>
    <w:rsid w:val="00D35233"/>
    <w:rsid w:val="00E55286"/>
    <w:rsid w:val="00EA0A07"/>
    <w:rsid w:val="00EA1FD5"/>
    <w:rsid w:val="00F9362F"/>
    <w:rsid w:val="00FB0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5613F3"/>
  <w15:docId w15:val="{58390815-CDFE-46D2-8CD7-BE8B1C6F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0855B-895B-42DD-B2F1-127D284789C9}">
  <ds:schemaRefs>
    <ds:schemaRef ds:uri="http://purl.org/dc/elements/1.1/"/>
    <ds:schemaRef ds:uri="http://schemas.microsoft.com/office/2006/metadata/properties"/>
    <ds:schemaRef ds:uri="d9b0aefb-3c48-4576-baff-ad342a58e951"/>
    <ds:schemaRef ds:uri="http://purl.org/dc/terms/"/>
    <ds:schemaRef ds:uri="http://schemas.microsoft.com/office/infopath/2007/PartnerControls"/>
    <ds:schemaRef ds:uri="http://schemas.microsoft.com/office/2006/documentManagement/types"/>
    <ds:schemaRef ds:uri="1deb4bf9-dd94-4d43-b337-4f8e20a85e1f"/>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3.xml><?xml version="1.0" encoding="utf-8"?>
<ds:datastoreItem xmlns:ds="http://schemas.openxmlformats.org/officeDocument/2006/customXml" ds:itemID="{9E3EBD89-B728-4CA9-96AD-C10A394787A0}"/>
</file>

<file path=docProps/app.xml><?xml version="1.0" encoding="utf-8"?>
<Properties xmlns="http://schemas.openxmlformats.org/officeDocument/2006/extended-properties" xmlns:vt="http://schemas.openxmlformats.org/officeDocument/2006/docPropsVTypes">
  <Template>Word Template - Simple Style</Template>
  <TotalTime>6</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8</cp:revision>
  <dcterms:created xsi:type="dcterms:W3CDTF">2017-10-19T13:40:00Z</dcterms:created>
  <dcterms:modified xsi:type="dcterms:W3CDTF">2021-05-27T09:18:00Z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67800</vt:r8>
  </property>
</Properties>
</file>