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84A4E" w14:textId="6BD70E9D" w:rsidR="005A40B5" w:rsidRPr="000818FD" w:rsidRDefault="00926C26">
      <w:pPr>
        <w:rPr>
          <w:b/>
          <w:bCs/>
        </w:rPr>
      </w:pPr>
      <w:r w:rsidRPr="000818FD">
        <w:rPr>
          <w:b/>
          <w:bCs/>
        </w:rPr>
        <w:t>Speech, language and communication needs (SLCN) and mental health: the experience of speech and language therapists (SLTs) and mental health professionals</w:t>
      </w:r>
    </w:p>
    <w:p w14:paraId="34587EF8" w14:textId="420BB328" w:rsidR="00926C26" w:rsidRDefault="00926C26"/>
    <w:p w14:paraId="3EAA6D77" w14:textId="5AACE4FC" w:rsidR="00926C26" w:rsidRDefault="00926C26" w:rsidP="00926C26">
      <w:r w:rsidRPr="00926C26">
        <w:rPr>
          <w:b/>
          <w:bCs/>
        </w:rPr>
        <w:t>Introduction</w:t>
      </w:r>
      <w:r>
        <w:br/>
      </w:r>
      <w:r>
        <w:br/>
      </w:r>
      <w:r>
        <w:t xml:space="preserve">Previous research shows Children and Young People (CYP) with SLCN are at risk of poor </w:t>
      </w:r>
    </w:p>
    <w:p w14:paraId="2B363D22" w14:textId="77777777" w:rsidR="00926C26" w:rsidRDefault="00926C26" w:rsidP="00926C26">
      <w:r>
        <w:t xml:space="preserve">mental health (1). </w:t>
      </w:r>
    </w:p>
    <w:p w14:paraId="7F73BD66" w14:textId="711C3D6E" w:rsidR="00926C26" w:rsidRDefault="00926C26" w:rsidP="00926C26">
      <w:r>
        <w:t>Less is known about certain types of SLCN and mental health difficulties, such as, Developmental Language Disorder.</w:t>
      </w:r>
    </w:p>
    <w:p w14:paraId="55E4CECF" w14:textId="7C557CD1" w:rsidR="00926C26" w:rsidRDefault="00926C26" w:rsidP="00926C26">
      <w:r>
        <w:t>There is a large gap in the evidence base for diagnostic and intervention-based studies for CYP who experience difficulties in both</w:t>
      </w:r>
    </w:p>
    <w:p w14:paraId="443E86D4" w14:textId="2EF9BAFE" w:rsidR="00926C26" w:rsidRDefault="00926C26" w:rsidP="00926C26">
      <w:r w:rsidRPr="00926C26">
        <w:rPr>
          <w:b/>
          <w:bCs/>
        </w:rPr>
        <w:t>Questions</w:t>
      </w:r>
      <w:r>
        <w:br/>
      </w:r>
      <w:r>
        <w:br/>
      </w:r>
      <w:r>
        <w:t xml:space="preserve">What difficulties do CYP with SLCN and mental health needs present with? </w:t>
      </w:r>
    </w:p>
    <w:p w14:paraId="46867848" w14:textId="326ECA97" w:rsidR="00926C26" w:rsidRDefault="00926C26" w:rsidP="00926C26">
      <w:r>
        <w:t xml:space="preserve">How do clinicians experience assessing and delivering therapies to CYP with SLCN and </w:t>
      </w:r>
      <w:r>
        <w:t>m</w:t>
      </w:r>
      <w:r>
        <w:t xml:space="preserve">ental health difficulties? </w:t>
      </w:r>
    </w:p>
    <w:p w14:paraId="3A509E48" w14:textId="01EBE6FE" w:rsidR="00926C26" w:rsidRDefault="00926C26" w:rsidP="00926C26">
      <w:r>
        <w:t>What treatments are thought to be clinically useful for CYP with SLCN and mental health difficulties?</w:t>
      </w:r>
      <w:r>
        <w:br/>
      </w:r>
      <w:r>
        <w:br/>
        <w:t xml:space="preserve">“I don’t think that’s typical for mental health practitioners (to consider language difficulties)” </w:t>
      </w:r>
      <w:r>
        <w:br/>
        <w:t>Mental health professional</w:t>
      </w:r>
    </w:p>
    <w:p w14:paraId="0C1CBAB1" w14:textId="52096215" w:rsidR="00926C26" w:rsidRDefault="00926C26" w:rsidP="00926C26">
      <w:r w:rsidRPr="00926C26">
        <w:rPr>
          <w:b/>
          <w:bCs/>
        </w:rPr>
        <w:t>Participants</w:t>
      </w:r>
      <w:r>
        <w:br/>
      </w:r>
      <w:r>
        <w:br/>
        <w:t xml:space="preserve">8 SLTs </w:t>
      </w:r>
      <w:r>
        <w:br/>
        <w:t>6 mental health pros</w:t>
      </w:r>
      <w:r>
        <w:br/>
        <w:t>14 participants</w:t>
      </w:r>
      <w:r>
        <w:br/>
      </w:r>
      <w:r>
        <w:br/>
        <w:t xml:space="preserve">“.. we’re often funded by different streams and funded by different people, we work in different health trusts quite often, and that actually has massive implications” </w:t>
      </w:r>
      <w:r>
        <w:br/>
        <w:t>Mental health professional</w:t>
      </w:r>
    </w:p>
    <w:p w14:paraId="434F3005" w14:textId="3A4AF795" w:rsidR="00926C26" w:rsidRDefault="00926C26" w:rsidP="00926C26">
      <w:r w:rsidRPr="00926C26">
        <w:rPr>
          <w:b/>
          <w:bCs/>
        </w:rPr>
        <w:t>Method</w:t>
      </w:r>
      <w:r>
        <w:br/>
      </w:r>
      <w:r>
        <w:br/>
      </w:r>
      <w:r>
        <w:t>Reflexive Thematic Analysis (2) was chosen as answered Research Questions.</w:t>
      </w:r>
    </w:p>
    <w:p w14:paraId="2CBDC808" w14:textId="14E70EE4" w:rsidR="00926C26" w:rsidRDefault="00926C26" w:rsidP="00926C26">
      <w:r>
        <w:t xml:space="preserve">This approach facilitated an exploration of clinician experiences, observation and knowledge. </w:t>
      </w:r>
    </w:p>
    <w:p w14:paraId="5E1A740A" w14:textId="62209701" w:rsidR="00926C26" w:rsidRDefault="00926C26" w:rsidP="00926C26">
      <w:r>
        <w:t>Method placed emphasis on the researchers subjectivity; Female SLT, hypnotherapist, NIHR Fellow.</w:t>
      </w:r>
    </w:p>
    <w:p w14:paraId="4D04A83B" w14:textId="3AE45AC5" w:rsidR="00926C26" w:rsidRDefault="00926C26" w:rsidP="00926C26">
      <w:r>
        <w:t>Semi-structured interviews lasted for one hour on Microsoft Teams. Video-audio data was collected. Interviews were recorded and transcribed.</w:t>
      </w:r>
    </w:p>
    <w:p w14:paraId="574CE1D4" w14:textId="5CEB5B41" w:rsidR="00926C26" w:rsidRDefault="00926C26" w:rsidP="00926C26">
      <w:r w:rsidRPr="00926C26">
        <w:rPr>
          <w:b/>
          <w:bCs/>
        </w:rPr>
        <w:t>Analysis</w:t>
      </w:r>
      <w:r w:rsidRPr="00926C26">
        <w:rPr>
          <w:b/>
          <w:bCs/>
        </w:rPr>
        <w:br/>
      </w:r>
      <w:r>
        <w:br/>
      </w:r>
      <w:r>
        <w:lastRenderedPageBreak/>
        <w:t>Familiarisation of data</w:t>
      </w:r>
      <w:r>
        <w:br/>
        <w:t>Generating initial codes (line-by-line)</w:t>
      </w:r>
      <w:r>
        <w:br/>
        <w:t>Searching for themes</w:t>
      </w:r>
      <w:r>
        <w:br/>
        <w:t>Reviewing themes</w:t>
      </w:r>
      <w:r>
        <w:br/>
        <w:t>Defining and naming themes</w:t>
      </w:r>
      <w:r>
        <w:br/>
        <w:t>Online team coding</w:t>
      </w:r>
      <w:r>
        <w:br/>
        <w:t>Refining themes</w:t>
      </w:r>
      <w:r>
        <w:br/>
      </w:r>
      <w:r>
        <w:br/>
      </w:r>
      <w:r w:rsidRPr="00926C26">
        <w:rPr>
          <w:b/>
          <w:bCs/>
        </w:rPr>
        <w:t>Results</w:t>
      </w:r>
      <w:r w:rsidRPr="00926C26">
        <w:rPr>
          <w:b/>
          <w:bCs/>
        </w:rPr>
        <w:br/>
      </w:r>
      <w:r w:rsidRPr="00926C26">
        <w:rPr>
          <w:b/>
          <w:bCs/>
        </w:rPr>
        <w:br/>
        <w:t>Boundaries around professional relationships:</w:t>
      </w:r>
      <w:r>
        <w:br/>
        <w:t>Variation of SLT and MH services</w:t>
      </w:r>
      <w:r>
        <w:br/>
        <w:t>Limited MDT working</w:t>
      </w:r>
      <w:r>
        <w:br/>
      </w:r>
      <w:r>
        <w:br/>
      </w:r>
      <w:r w:rsidRPr="00926C26">
        <w:rPr>
          <w:b/>
          <w:bCs/>
        </w:rPr>
        <w:t>Knowledge of SLCN and mental health:</w:t>
      </w:r>
      <w:r>
        <w:br/>
        <w:t>Visibility</w:t>
      </w:r>
      <w:r>
        <w:br/>
        <w:t>Barriers to accessing talking therapies</w:t>
      </w:r>
      <w:r>
        <w:br/>
      </w:r>
      <w:r>
        <w:br/>
      </w:r>
      <w:r w:rsidRPr="00926C26">
        <w:rPr>
          <w:b/>
          <w:bCs/>
        </w:rPr>
        <w:t>Being misunderstood/being labelled naughty</w:t>
      </w:r>
      <w:r>
        <w:br/>
      </w:r>
      <w:r>
        <w:br/>
      </w:r>
      <w:r w:rsidRPr="00926C26">
        <w:rPr>
          <w:b/>
          <w:bCs/>
        </w:rPr>
        <w:t>Blended interventions</w:t>
      </w:r>
      <w:r>
        <w:rPr>
          <w:b/>
          <w:bCs/>
        </w:rPr>
        <w:br/>
      </w:r>
      <w:r w:rsidRPr="00926C26">
        <w:t>Working with the environment</w:t>
      </w:r>
      <w:r>
        <w:br/>
        <w:t>Support for communication</w:t>
      </w:r>
      <w:r>
        <w:br/>
      </w:r>
      <w:r>
        <w:br/>
      </w:r>
      <w:r w:rsidRPr="00926C26">
        <w:rPr>
          <w:b/>
          <w:bCs/>
        </w:rPr>
        <w:t>Key messages</w:t>
      </w:r>
      <w:r>
        <w:br/>
      </w:r>
      <w:r>
        <w:br/>
      </w:r>
      <w:r>
        <w:t>1) This population is not well understood by professional leading to CYP being undiagnosed or misdiagnosed.</w:t>
      </w:r>
    </w:p>
    <w:p w14:paraId="074AEA4B" w14:textId="10F493F2" w:rsidR="00926C26" w:rsidRDefault="00926C26" w:rsidP="00926C26">
      <w:r>
        <w:t>2) Organisational boundaries between SLT and mental health which was perceived to contribute to a lack of understanding of this population.</w:t>
      </w:r>
    </w:p>
    <w:p w14:paraId="414135D7" w14:textId="425D1246" w:rsidR="00926C26" w:rsidRDefault="00926C26" w:rsidP="00926C26">
      <w:r>
        <w:t>3) Traditional talking therapies thought to be potentially ineffective and inaccessible for CYP with SLCN and mental health difficulties.</w:t>
      </w:r>
    </w:p>
    <w:p w14:paraId="1046B78A" w14:textId="29883DDA" w:rsidR="00926C26" w:rsidRDefault="00926C26" w:rsidP="00926C26">
      <w:r>
        <w:t xml:space="preserve">4) Interventions used in SLT and psychotherapy were perceived as clinically useful if combined. </w:t>
      </w:r>
    </w:p>
    <w:p w14:paraId="657B0484" w14:textId="6AB99861" w:rsidR="00926C26" w:rsidRDefault="00926C26" w:rsidP="00926C26">
      <w:r>
        <w:t>5) Play Therapy as a potentially useful psychotherapy for this population.</w:t>
      </w:r>
    </w:p>
    <w:p w14:paraId="6BE898D9" w14:textId="1219425C" w:rsidR="00926C26" w:rsidRDefault="000818FD" w:rsidP="000818FD">
      <w:r w:rsidRPr="000818FD">
        <w:rPr>
          <w:b/>
          <w:bCs/>
        </w:rPr>
        <w:t>Future</w:t>
      </w:r>
      <w:r w:rsidRPr="000818FD">
        <w:rPr>
          <w:b/>
          <w:bCs/>
        </w:rPr>
        <w:br/>
      </w:r>
      <w:r w:rsidRPr="000818FD">
        <w:rPr>
          <w:b/>
          <w:bCs/>
        </w:rPr>
        <w:br/>
      </w:r>
      <w:r w:rsidRPr="000818FD">
        <w:t>This study has important implications for the efficacy of treatments provided to this population and to the services currently treating this group of children and young people.</w:t>
      </w:r>
    </w:p>
    <w:p w14:paraId="6E137BC4" w14:textId="3F5C28F3" w:rsidR="000818FD" w:rsidRDefault="000818FD" w:rsidP="000818FD">
      <w:r>
        <w:t>Larger scale PhD project examining Developmental Language Disorder and accessibility to psychological therapies.</w:t>
      </w:r>
    </w:p>
    <w:p w14:paraId="20B3653A" w14:textId="4BBE4B6E" w:rsidR="000818FD" w:rsidRPr="000818FD" w:rsidRDefault="000818FD" w:rsidP="000818FD">
      <w:r w:rsidRPr="000818FD">
        <w:rPr>
          <w:b/>
          <w:bCs/>
        </w:rPr>
        <w:t>References</w:t>
      </w:r>
      <w:r w:rsidRPr="000818FD">
        <w:rPr>
          <w:b/>
          <w:bCs/>
        </w:rPr>
        <w:br/>
      </w:r>
      <w:r w:rsidRPr="000818FD">
        <w:rPr>
          <w:b/>
          <w:bCs/>
        </w:rPr>
        <w:br/>
      </w:r>
      <w:proofErr w:type="spellStart"/>
      <w:r w:rsidRPr="000818FD">
        <w:t>Beitchman</w:t>
      </w:r>
      <w:proofErr w:type="spellEnd"/>
      <w:r w:rsidRPr="000818FD">
        <w:t xml:space="preserve">, J. H., Wilson, B., Johnson, C. J., Atkinson, L., Young, A., </w:t>
      </w:r>
      <w:proofErr w:type="spellStart"/>
      <w:r w:rsidRPr="000818FD">
        <w:t>Adlaf</w:t>
      </w:r>
      <w:proofErr w:type="spellEnd"/>
      <w:r w:rsidRPr="000818FD">
        <w:t xml:space="preserve">, E. et al., (2001), Fourteen-year follow-up of speech/language-impaired and control children: </w:t>
      </w:r>
      <w:r w:rsidRPr="000818FD">
        <w:lastRenderedPageBreak/>
        <w:t xml:space="preserve">psychiatric outcome. Journal of the American Academy of Child and Adolescent Psychiatry, 40, 75–82. </w:t>
      </w:r>
    </w:p>
    <w:p w14:paraId="1B8E867A" w14:textId="3C28886A" w:rsidR="000818FD" w:rsidRPr="000818FD" w:rsidRDefault="000818FD" w:rsidP="000818FD">
      <w:r w:rsidRPr="000818FD">
        <w:t>Braun, V. and Clarke, V., (2020). One size fits all? What counts as quality practice (reflexive) thematic analysis. Qualitative Research in Psychology, DOI:</w:t>
      </w:r>
      <w:r>
        <w:t xml:space="preserve"> </w:t>
      </w:r>
      <w:r w:rsidRPr="000818FD">
        <w:t>10.1080/14780887.2020.1769238.</w:t>
      </w:r>
    </w:p>
    <w:p w14:paraId="4D9BB5DD" w14:textId="3CB49190" w:rsidR="000818FD" w:rsidRPr="000818FD" w:rsidRDefault="000818FD" w:rsidP="000818FD">
      <w:r w:rsidRPr="000818FD">
        <w:t xml:space="preserve">Cohen, N. J., </w:t>
      </w:r>
      <w:proofErr w:type="spellStart"/>
      <w:r w:rsidRPr="000818FD">
        <w:t>Farnia</w:t>
      </w:r>
      <w:proofErr w:type="spellEnd"/>
      <w:r w:rsidRPr="000818FD">
        <w:t xml:space="preserve">, F., &amp; </w:t>
      </w:r>
      <w:proofErr w:type="spellStart"/>
      <w:r w:rsidRPr="000818FD">
        <w:t>Im</w:t>
      </w:r>
      <w:proofErr w:type="spellEnd"/>
      <w:r w:rsidRPr="000818FD">
        <w:t>-Bolter, N. (2013). Higher order language competence and adolescent mental health. Journal of Child Psychology and Psychiatry and Allied Disciplines, 54(7), 733–744. https://doi.org/10.1111/jcpp.12060</w:t>
      </w:r>
    </w:p>
    <w:sectPr w:rsidR="000818FD" w:rsidRPr="00081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26"/>
    <w:rsid w:val="000818FD"/>
    <w:rsid w:val="005A40B5"/>
    <w:rsid w:val="0092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E9331"/>
  <w15:chartTrackingRefBased/>
  <w15:docId w15:val="{073EB1AE-B274-4A62-AD39-6C49A874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Rohman-Johnson</dc:creator>
  <cp:keywords/>
  <dc:description/>
  <cp:lastModifiedBy>Joanne Rohman-Johnson</cp:lastModifiedBy>
  <cp:revision>1</cp:revision>
  <dcterms:created xsi:type="dcterms:W3CDTF">2022-05-13T08:56:00Z</dcterms:created>
  <dcterms:modified xsi:type="dcterms:W3CDTF">2022-05-13T09:09:00Z</dcterms:modified>
</cp:coreProperties>
</file>