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34B6" w:rsidP="009E2D55" w:rsidRDefault="00A1218A" w14:paraId="26756F59" w14:textId="3CFB5B0C">
      <w:pPr/>
      <w:r w:rsidR="7BBD4D7E">
        <w:rPr/>
        <w:t>The Way Trainee C</w:t>
      </w:r>
      <w:r w:rsidR="7BBD4D7E">
        <w:rPr/>
        <w:t>o</w:t>
      </w:r>
      <w:r w:rsidR="7BBD4D7E">
        <w:rPr/>
        <w:t>unsellor Engage</w:t>
      </w:r>
      <w:r w:rsidR="28F49DC7">
        <w:rPr/>
        <w:t xml:space="preserve"> in</w:t>
      </w:r>
      <w:r w:rsidR="7BBD4D7E">
        <w:rPr/>
        <w:t xml:space="preserve"> Their Personal Development</w:t>
      </w:r>
    </w:p>
    <w:p w:rsidRPr="009E2D55" w:rsidR="009E2D55" w:rsidP="68C2C0A4" w:rsidRDefault="009E2D55" w14:paraId="36BD4A43" w14:textId="77777777">
      <w:pPr>
        <w:pStyle w:val="Normal"/>
      </w:pPr>
    </w:p>
    <w:p w:rsidRPr="00A1218A" w:rsidR="00A1218A" w:rsidP="68C2C0A4" w:rsidRDefault="00A1218A" w14:paraId="42E7F81F" w14:textId="18E9B596">
      <w:pPr>
        <w:pStyle w:val="Normal"/>
      </w:pPr>
      <w:r w:rsidR="7BBD4D7E">
        <w:rPr/>
        <w:t>INTRODUCTION / BACKGROUND</w:t>
      </w:r>
    </w:p>
    <w:p w:rsidRPr="00A1218A" w:rsidR="00A1218A" w:rsidP="68C2C0A4" w:rsidRDefault="00A1218A" w14:paraId="5DCBE468" w14:textId="54FC2BFA">
      <w:pPr>
        <w:pStyle w:val="Normal"/>
      </w:pPr>
      <w:r w:rsidR="7BBD4D7E">
        <w:rPr/>
        <w:t>Personal development is a way of improving self-awareness. Personal development (PD) is an essential part of training in coaching, person-centred psychology, and therapy. It is most effectively carried out in training groups. In counselling sessions, the counsellor acts as a tool to help the client address their issues. Therefore, a counsellor needs to be self-aware, as accepting oneself helps them be more effectively accepted by the client in need.</w:t>
      </w:r>
      <w:r>
        <w:br/>
      </w:r>
      <w:r w:rsidR="7BBD4D7E">
        <w:rPr/>
        <w:t>Murphy and Schofield (2023) state that the PD group method is an effective training approach for counselling trainees to improve self-acceptance and self-awareness. This group method focuses on enhancing participants' self-awareness, interpersonal skills, and personal capabilities (Daldorph &amp; Hill, 2022). Trainees are given an open agenda to discuss, allowing them to seek opportunities for self-development and to influence other group members interpersonally through the trainer's intervention and group discussions (McMahon &amp; Rodillas, 2018).</w:t>
      </w:r>
      <w:r>
        <w:br/>
      </w:r>
      <w:r w:rsidR="7BBD4D7E">
        <w:rPr/>
        <w:t xml:space="preserve">Discussions usually focus on issues from </w:t>
      </w:r>
      <w:r w:rsidR="7BBD4D7E">
        <w:rPr/>
        <w:t>previous</w:t>
      </w:r>
      <w:r w:rsidR="7BBD4D7E">
        <w:rPr/>
        <w:t xml:space="preserve"> sessions, personal life experiences, and client encounters. Facilitators/trainers encourage participants to start dialogues with each other or role-play in specific contexts, promoting exploration of interpersonal relationships. PD aims to increase a counselling trainee’s self-awareness </w:t>
      </w:r>
      <w:r w:rsidR="7BBD4D7E">
        <w:rPr/>
        <w:t>regarding</w:t>
      </w:r>
      <w:r w:rsidR="7BBD4D7E">
        <w:rPr/>
        <w:t xml:space="preserve"> attachment styles, defence mechanisms, and relational styles relevant to working with real clients (Murphy &amp; Schofield, 2023; Knight, Sperlinger &amp; Maltby, 2010).</w:t>
      </w:r>
    </w:p>
    <w:p w:rsidRPr="009E2D55" w:rsidR="009D05A5" w:rsidP="68C2C0A4" w:rsidRDefault="00A1218A" w14:paraId="43ADF8A9" w14:textId="1AEA9F12">
      <w:pPr>
        <w:pStyle w:val="Normal"/>
      </w:pPr>
      <w:r w:rsidR="7BBD4D7E">
        <w:rPr/>
        <w:t xml:space="preserve">In the context of counsellors’ development, Rønnestad and Skovholt (2003) reported a connection between self-reflection and self-awareness, noting that self-reflection is essential for personal growth. Self-awareness </w:t>
      </w:r>
      <w:r w:rsidR="7BBD4D7E">
        <w:rPr/>
        <w:t>provides</w:t>
      </w:r>
      <w:r w:rsidR="7BBD4D7E">
        <w:rPr/>
        <w:t xml:space="preserve"> opportunities to challenge one's view of oneself in interpersonal debates, bringing unconscious motives to light. This, in turn, enhances self-acceptance and awareness (Daldorph &amp; Hill, 2022; Cooper, 2005). Therefore, PD is seen as a transformative learning method (Edwards, 2018</w:t>
      </w:r>
      <w:r w:rsidR="6B66FCE7">
        <w:rPr/>
        <w:t>).</w:t>
      </w:r>
      <w:r>
        <w:br/>
      </w:r>
    </w:p>
    <w:p w:rsidRPr="009D05A5" w:rsidR="009D05A5" w:rsidP="68C2C0A4" w:rsidRDefault="009D05A5" w14:paraId="6B39C5E5" w14:textId="44D8309B">
      <w:pPr>
        <w:pStyle w:val="Normal"/>
      </w:pPr>
      <w:r w:rsidR="6B66FCE7">
        <w:rPr/>
        <w:t xml:space="preserve"> METHODOLOGY </w:t>
      </w:r>
    </w:p>
    <w:p w:rsidRPr="009D05A5" w:rsidR="009D05A5" w:rsidP="68C2C0A4" w:rsidRDefault="009D05A5" w14:paraId="1399222E" w14:textId="77777777">
      <w:pPr>
        <w:pStyle w:val="Normal"/>
      </w:pPr>
      <w:r w:rsidR="6B66FCE7">
        <w:rPr/>
        <w:t>LITERATURE REVIEW RESEARCH QUESTION:</w:t>
      </w:r>
      <w:r w:rsidR="6B66FCE7">
        <w:rPr/>
        <w:t xml:space="preserve"> </w:t>
      </w:r>
      <w:r w:rsidR="6B66FCE7">
        <w:rPr/>
        <w:t>Q1. How do Trainee Counsellors Engage in Their Personal Development?</w:t>
      </w:r>
    </w:p>
    <w:p w:rsidRPr="009D05A5" w:rsidR="009D05A5" w:rsidP="68C2C0A4" w:rsidRDefault="009D05A5" w14:paraId="74C10584" w14:textId="25386709">
      <w:pPr>
        <w:pStyle w:val="Normal"/>
      </w:pPr>
      <w:r w:rsidR="6B66FCE7">
        <w:rPr/>
        <w:t xml:space="preserve">RELAVENT LITRATURE </w:t>
      </w:r>
      <w:r w:rsidR="7C4DDE2F">
        <w:rPr/>
        <w:t>WAS FOUND</w:t>
      </w:r>
      <w:r w:rsidR="6B66FCE7">
        <w:rPr/>
        <w:t xml:space="preserve"> using academic databases such as Science Direct, the University of Salford library search, and Google.</w:t>
      </w:r>
    </w:p>
    <w:p w:rsidRPr="009D05A5" w:rsidR="009D05A5" w:rsidP="68C2C0A4" w:rsidRDefault="009D05A5" w14:paraId="2BFD8BBF" w14:textId="3E8BAC84">
      <w:pPr>
        <w:pStyle w:val="Normal"/>
      </w:pPr>
      <w:r w:rsidR="6B66FCE7">
        <w:rPr/>
        <w:t>KEYWORDS:</w:t>
      </w:r>
      <w:r w:rsidR="6B66FCE7">
        <w:rPr/>
        <w:t xml:space="preserve"> (Trainee Counsellor, Personal Development, Trainee Counsellor’s Personal Development)</w:t>
      </w:r>
      <w:r>
        <w:br/>
      </w:r>
    </w:p>
    <w:p w:rsidRPr="009D05A5" w:rsidR="009D05A5" w:rsidP="68C2C0A4" w:rsidRDefault="009D05A5" w14:paraId="38E6DC5A" w14:textId="77777777">
      <w:pPr>
        <w:pStyle w:val="Normal"/>
      </w:pPr>
      <w:r w:rsidR="6B66FCE7">
        <w:rPr/>
        <w:t>INCLUSION CRITERIA:</w:t>
      </w:r>
    </w:p>
    <w:p w:rsidRPr="009D05A5" w:rsidR="009D05A5" w:rsidP="68C2C0A4" w:rsidRDefault="009D05A5" w14:paraId="0BA04ADB" w14:textId="77777777">
      <w:pPr>
        <w:pStyle w:val="Normal"/>
        <w:tabs>
          <w:tab w:val="left" w:leader="none" w:pos="720"/>
        </w:tabs>
      </w:pPr>
      <w:r w:rsidR="6B66FCE7">
        <w:rPr/>
        <w:t xml:space="preserve">Focus on articles from 2019-2025 related to trainees’ counsellors’ personal development. </w:t>
      </w:r>
    </w:p>
    <w:p w:rsidRPr="009D05A5" w:rsidR="009D05A5" w:rsidP="68C2C0A4" w:rsidRDefault="009D05A5" w14:paraId="1F646517" w14:textId="77777777">
      <w:pPr>
        <w:pStyle w:val="Normal"/>
      </w:pPr>
      <w:r w:rsidR="6B66FCE7">
        <w:rPr/>
        <w:t>Inclusion criteria</w:t>
      </w:r>
      <w:r w:rsidR="6B66FCE7">
        <w:rPr/>
        <w:t xml:space="preserve"> </w:t>
      </w:r>
      <w:r w:rsidR="6B66FCE7">
        <w:rPr/>
        <w:t>Purpose:</w:t>
      </w:r>
    </w:p>
    <w:p w:rsidRPr="009D05A5" w:rsidR="009D05A5" w:rsidP="68C2C0A4" w:rsidRDefault="009D05A5" w14:paraId="6986D94D" w14:textId="77777777">
      <w:pPr>
        <w:pStyle w:val="Normal"/>
        <w:tabs>
          <w:tab w:val="left" w:leader="none" w:pos="720"/>
        </w:tabs>
      </w:pPr>
      <w:r w:rsidR="6B66FCE7">
        <w:rPr/>
        <w:t>Identify</w:t>
      </w:r>
      <w:r w:rsidR="6B66FCE7">
        <w:rPr/>
        <w:t xml:space="preserve"> current trends and patterns in training research.</w:t>
      </w:r>
    </w:p>
    <w:p w:rsidRPr="009D05A5" w:rsidR="009D05A5" w:rsidP="68C2C0A4" w:rsidRDefault="009D05A5" w14:paraId="754B56C8" w14:textId="77777777">
      <w:pPr>
        <w:pStyle w:val="Normal"/>
        <w:tabs>
          <w:tab w:val="left" w:leader="none" w:pos="720"/>
        </w:tabs>
      </w:pPr>
      <w:r w:rsidR="6B66FCE7">
        <w:rPr/>
        <w:t>Highlight gaps in existing studies.</w:t>
      </w:r>
    </w:p>
    <w:p w:rsidRPr="009D05A5" w:rsidR="009D05A5" w:rsidP="68C2C0A4" w:rsidRDefault="009D05A5" w14:paraId="664D2181" w14:textId="7D7F3E94">
      <w:pPr>
        <w:pStyle w:val="Normal"/>
        <w:tabs>
          <w:tab w:val="left" w:leader="none" w:pos="720"/>
        </w:tabs>
      </w:pPr>
      <w:r w:rsidR="6B66FCE7">
        <w:rPr/>
        <w:t>Offer insights to advance the profession.</w:t>
      </w:r>
      <w:r>
        <w:br/>
      </w:r>
    </w:p>
    <w:p w:rsidRPr="009D05A5" w:rsidR="009D05A5" w:rsidP="68C2C0A4" w:rsidRDefault="009D05A5" w14:paraId="380B2C74" w14:textId="689F1323">
      <w:pPr>
        <w:pStyle w:val="Normal"/>
      </w:pPr>
      <w:r w:rsidR="6B66FCE7">
        <w:rPr/>
        <w:t xml:space="preserve">EXCLUSION CRITERIA: </w:t>
      </w:r>
      <w:r w:rsidR="6B66FCE7">
        <w:rPr/>
        <w:t>Studies before 2018</w:t>
      </w:r>
      <w:r w:rsidR="6B66FCE7">
        <w:rPr/>
        <w:t xml:space="preserve">, as they have </w:t>
      </w:r>
      <w:r w:rsidR="6B66FCE7">
        <w:rPr/>
        <w:t>likely been</w:t>
      </w:r>
      <w:r w:rsidR="6B66FCE7">
        <w:rPr/>
        <w:t xml:space="preserve"> reviewed and gaps addressed by earlier research.</w:t>
      </w:r>
      <w:r>
        <w:br/>
      </w:r>
    </w:p>
    <w:p w:rsidRPr="009D05A5" w:rsidR="009D05A5" w:rsidP="68C2C0A4" w:rsidRDefault="009D05A5" w14:paraId="1FB528C6" w14:textId="382C57CF">
      <w:pPr>
        <w:pStyle w:val="Normal"/>
      </w:pPr>
      <w:r w:rsidR="6B66FCE7">
        <w:rPr/>
        <w:t>EXPERIMENTAL LEARNING STUDIES</w:t>
      </w:r>
      <w:r w:rsidR="6B66FCE7">
        <w:rPr/>
        <w:t xml:space="preserve"> often explore group dynamics, cultural immersion, and emotional experiences.</w:t>
      </w:r>
      <w:r>
        <w:br/>
      </w:r>
    </w:p>
    <w:p w:rsidRPr="009D05A5" w:rsidR="009D05A5" w:rsidP="68C2C0A4" w:rsidRDefault="009D05A5" w14:paraId="03E9E41D" w14:textId="6F41434C">
      <w:pPr>
        <w:pStyle w:val="Normal"/>
      </w:pPr>
      <w:r w:rsidR="6B66FCE7">
        <w:rPr/>
        <w:t>QUALITATIVE METHORD:</w:t>
      </w:r>
      <w:r w:rsidR="6B66FCE7">
        <w:rPr/>
        <w:t xml:space="preserve"> </w:t>
      </w:r>
      <w:r w:rsidR="7C4DDE2F">
        <w:rPr/>
        <w:t>Most</w:t>
      </w:r>
      <w:r w:rsidR="6B66FCE7">
        <w:rPr/>
        <w:t xml:space="preserve"> studies use qualitative methods such as interviews, surveys, and phenomenological analysis.</w:t>
      </w:r>
      <w:r>
        <w:br/>
      </w:r>
    </w:p>
    <w:p w:rsidRPr="009D05A5" w:rsidR="009D05A5" w:rsidP="68C2C0A4" w:rsidRDefault="009D05A5" w14:paraId="3EE0D825" w14:textId="4288C3C3">
      <w:pPr>
        <w:pStyle w:val="Normal"/>
      </w:pPr>
      <w:r w:rsidR="6B66FCE7">
        <w:rPr/>
        <w:t>FOCUS ON PERSONAL/ PROFESSIONAL DEVELOPMENT:</w:t>
      </w:r>
      <w:r w:rsidR="6B66FCE7">
        <w:rPr/>
        <w:t xml:space="preserve"> All studies examine the impact of training on skills, self-awareness, interpersonal competence, or multicultural understanding.</w:t>
      </w:r>
      <w:r>
        <w:br/>
      </w:r>
    </w:p>
    <w:p w:rsidRPr="009D05A5" w:rsidR="009D05A5" w:rsidP="68C2C0A4" w:rsidRDefault="009D05A5" w14:paraId="52D0D257" w14:textId="2C836635">
      <w:pPr>
        <w:pStyle w:val="Normal"/>
      </w:pPr>
      <w:r w:rsidR="6B66FCE7">
        <w:rPr/>
        <w:t>LANGUAGE CONSIDERATION:</w:t>
      </w:r>
      <w:r w:rsidR="6B66FCE7">
        <w:rPr/>
        <w:t xml:space="preserve"> Only English-language articles were selected for easier access and relevance to the topic. Non-English studies were excluded by choice for practical reasons, such as accessibility.</w:t>
      </w:r>
      <w:r>
        <w:br/>
      </w:r>
    </w:p>
    <w:p w:rsidRPr="009D05A5" w:rsidR="009D05A5" w:rsidP="68C2C0A4" w:rsidRDefault="009D05A5" w14:paraId="302237B6" w14:textId="675D4B07">
      <w:pPr>
        <w:pStyle w:val="Normal"/>
      </w:pPr>
      <w:r w:rsidR="6B66FCE7">
        <w:rPr/>
        <w:t xml:space="preserve">GLOBAL PERSPECTIVE </w:t>
      </w:r>
      <w:r w:rsidR="7C4DDE2F">
        <w:rPr/>
        <w:t>IN LITERATURE REVIEW</w:t>
      </w:r>
      <w:r w:rsidR="6B66FCE7">
        <w:rPr/>
        <w:t>:</w:t>
      </w:r>
      <w:r w:rsidR="6B66FCE7">
        <w:rPr/>
        <w:t xml:space="preserve"> The literature review includes studies from the UK, USA, and Canada to provide diverse global perspectives, enhancing credibility and applicability across different contexts.</w:t>
      </w:r>
      <w:r>
        <w:br/>
      </w:r>
    </w:p>
    <w:p w:rsidRPr="009D05A5" w:rsidR="009D05A5" w:rsidP="68C2C0A4" w:rsidRDefault="009D05A5" w14:paraId="2BC00E5F" w14:textId="716DFB3D">
      <w:pPr>
        <w:pStyle w:val="Normal"/>
      </w:pPr>
      <w:r w:rsidR="6B66FCE7">
        <w:rPr/>
        <w:t>PUBLICATION SOURCES:</w:t>
      </w:r>
      <w:r w:rsidR="6B66FCE7">
        <w:rPr/>
        <w:t xml:space="preserve"> Six articles were included. All articles were published by Elsevier, Wiley, and Routledge Taylor &amp; Francis due to their strong academic reputations, high-quality peer-reviewed content, and reliable, up-to-date research.</w:t>
      </w:r>
      <w:r>
        <w:br/>
      </w:r>
    </w:p>
    <w:p w:rsidRPr="009D05A5" w:rsidR="009D05A5" w:rsidP="68C2C0A4" w:rsidRDefault="009D05A5" w14:paraId="01F41068" w14:textId="36DF06EA">
      <w:pPr>
        <w:pStyle w:val="Normal"/>
      </w:pPr>
      <w:r w:rsidR="6B66FCE7">
        <w:rPr/>
        <w:t xml:space="preserve">THE REASON I SELECTED "RELIGION </w:t>
      </w:r>
      <w:r w:rsidR="7C4DDE2F">
        <w:rPr/>
        <w:t>AND SPIRITUALITY IN</w:t>
      </w:r>
      <w:r w:rsidR="6B66FCE7">
        <w:rPr/>
        <w:t xml:space="preserve"> THERAPUTIC TRAINING IN THE UK: A SURVEY OF CURRENT AND RECENT TRAINEES:</w:t>
      </w:r>
      <w:r>
        <w:br/>
      </w:r>
    </w:p>
    <w:p w:rsidRPr="009D05A5" w:rsidR="00FC63E2" w:rsidP="68C2C0A4" w:rsidRDefault="009D05A5" w14:paraId="61EDA3D0" w14:textId="77777777">
      <w:pPr>
        <w:rPr>
          <w:rFonts w:ascii="Arial" w:hAnsi="Arial" w:cs="Arial"/>
        </w:rPr>
      </w:pPr>
      <w:r w:rsidR="6B66FCE7">
        <w:rPr/>
        <w:t xml:space="preserve">I chose this article "Religion and Spirituality in Therapeutic Training in the UK: A Survey of Current and Recent Trainees" </w:t>
      </w:r>
      <w:r w:rsidR="7C4DDE2F">
        <w:rPr/>
        <w:t>as Religion</w:t>
      </w:r>
      <w:r w:rsidR="6B66FCE7">
        <w:rPr/>
        <w:t xml:space="preserve"> and spirituality can offer trainee</w:t>
      </w:r>
      <w:r w:rsidRPr="68C2C0A4" w:rsidR="6B66FCE7">
        <w:rPr>
          <w:rFonts w:ascii="Arial" w:hAnsi="Arial" w:cs="Arial"/>
        </w:rPr>
        <w:t xml:space="preserve"> </w:t>
      </w:r>
    </w:p>
    <w:tbl>
      <w:tblPr>
        <w:tblpPr w:leftFromText="180" w:rightFromText="180" w:vertAnchor="text" w:horzAnchor="margin" w:tblpX="-1286" w:tblpY="-1439"/>
        <w:tblW w:w="11536" w:type="dxa"/>
        <w:tblCellMar>
          <w:left w:w="0" w:type="dxa"/>
          <w:right w:w="0" w:type="dxa"/>
        </w:tblCellMar>
        <w:tblLook w:val="04A0" w:firstRow="1" w:lastRow="0" w:firstColumn="1" w:lastColumn="0" w:noHBand="0" w:noVBand="1"/>
      </w:tblPr>
      <w:tblGrid>
        <w:gridCol w:w="5934"/>
        <w:gridCol w:w="2139"/>
        <w:gridCol w:w="3463"/>
      </w:tblGrid>
      <w:tr w:rsidRPr="009D05A5" w:rsidR="00FC63E2" w:rsidTr="00D97F0A" w14:paraId="49ECDEF3" w14:textId="77777777">
        <w:trPr>
          <w:trHeight w:val="329"/>
        </w:trPr>
        <w:tc>
          <w:tcPr>
            <w:tcW w:w="5997" w:type="dxa"/>
            <w:tcBorders>
              <w:top w:val="single" w:color="FFFFFF" w:sz="8" w:space="0"/>
              <w:left w:val="single" w:color="FFFFFF" w:sz="8" w:space="0"/>
              <w:bottom w:val="single" w:color="FFFFFF" w:sz="24" w:space="0"/>
              <w:right w:val="single" w:color="FFFFFF" w:sz="8" w:space="0"/>
            </w:tcBorders>
            <w:shd w:val="clear" w:color="auto" w:fill="5B9BD5"/>
            <w:tcMar>
              <w:top w:w="15" w:type="dxa"/>
              <w:left w:w="95" w:type="dxa"/>
              <w:bottom w:w="0" w:type="dxa"/>
              <w:right w:w="95" w:type="dxa"/>
            </w:tcMar>
            <w:hideMark/>
          </w:tcPr>
          <w:p w:rsidRPr="009D05A5" w:rsidR="00FC63E2" w:rsidP="00FC63E2" w:rsidRDefault="00FC63E2" w14:paraId="74B2429F" w14:textId="77777777">
            <w:pPr>
              <w:spacing w:line="360" w:lineRule="auto"/>
              <w:rPr>
                <w:rFonts w:ascii="Arial" w:hAnsi="Arial" w:cs="Arial"/>
              </w:rPr>
            </w:pPr>
            <w:r w:rsidRPr="009D05A5">
              <w:rPr>
                <w:rFonts w:ascii="Arial" w:hAnsi="Arial" w:cs="Arial"/>
                <w:b/>
                <w:bCs/>
              </w:rPr>
              <w:t xml:space="preserve">               LITERATURE ARTICLES </w:t>
            </w:r>
          </w:p>
        </w:tc>
        <w:tc>
          <w:tcPr>
            <w:tcW w:w="2045" w:type="dxa"/>
            <w:tcBorders>
              <w:top w:val="single" w:color="FFFFFF" w:sz="8" w:space="0"/>
              <w:left w:val="single" w:color="FFFFFF" w:sz="8" w:space="0"/>
              <w:bottom w:val="single" w:color="FFFFFF" w:sz="24" w:space="0"/>
              <w:right w:val="single" w:color="FFFFFF" w:sz="8" w:space="0"/>
            </w:tcBorders>
            <w:shd w:val="clear" w:color="auto" w:fill="5B9BD5"/>
            <w:tcMar>
              <w:top w:w="15" w:type="dxa"/>
              <w:left w:w="95" w:type="dxa"/>
              <w:bottom w:w="0" w:type="dxa"/>
              <w:right w:w="95" w:type="dxa"/>
            </w:tcMar>
            <w:hideMark/>
          </w:tcPr>
          <w:p w:rsidRPr="009D05A5" w:rsidR="00FC63E2" w:rsidP="00FC63E2" w:rsidRDefault="00FC63E2" w14:paraId="75B2B95B" w14:textId="77777777">
            <w:pPr>
              <w:spacing w:line="360" w:lineRule="auto"/>
              <w:rPr>
                <w:rFonts w:ascii="Arial" w:hAnsi="Arial" w:cs="Arial"/>
              </w:rPr>
            </w:pPr>
            <w:r w:rsidRPr="009D05A5">
              <w:rPr>
                <w:rFonts w:ascii="Arial" w:hAnsi="Arial" w:cs="Arial"/>
                <w:b/>
                <w:bCs/>
              </w:rPr>
              <w:t xml:space="preserve">   METHODOLOGY</w:t>
            </w:r>
          </w:p>
        </w:tc>
        <w:tc>
          <w:tcPr>
            <w:tcW w:w="3494" w:type="dxa"/>
            <w:tcBorders>
              <w:top w:val="single" w:color="FFFFFF" w:sz="8" w:space="0"/>
              <w:left w:val="single" w:color="FFFFFF" w:sz="8" w:space="0"/>
              <w:bottom w:val="single" w:color="FFFFFF" w:sz="24" w:space="0"/>
              <w:right w:val="single" w:color="FFFFFF" w:sz="8" w:space="0"/>
            </w:tcBorders>
            <w:shd w:val="clear" w:color="auto" w:fill="5B9BD5"/>
            <w:tcMar>
              <w:top w:w="15" w:type="dxa"/>
              <w:left w:w="95" w:type="dxa"/>
              <w:bottom w:w="0" w:type="dxa"/>
              <w:right w:w="95" w:type="dxa"/>
            </w:tcMar>
            <w:hideMark/>
          </w:tcPr>
          <w:p w:rsidRPr="009D05A5" w:rsidR="00FC63E2" w:rsidP="00FC63E2" w:rsidRDefault="00FC63E2" w14:paraId="647DD1F7" w14:textId="77777777">
            <w:pPr>
              <w:spacing w:line="360" w:lineRule="auto"/>
              <w:rPr>
                <w:rFonts w:ascii="Arial" w:hAnsi="Arial" w:cs="Arial"/>
              </w:rPr>
            </w:pPr>
            <w:r w:rsidRPr="009D05A5">
              <w:rPr>
                <w:rFonts w:ascii="Arial" w:hAnsi="Arial" w:cs="Arial"/>
                <w:b/>
                <w:bCs/>
              </w:rPr>
              <w:t xml:space="preserve">                      THEME</w:t>
            </w:r>
          </w:p>
        </w:tc>
      </w:tr>
      <w:tr w:rsidRPr="009D05A5" w:rsidR="00FC63E2" w:rsidTr="00D97F0A" w14:paraId="6039CCB8" w14:textId="77777777">
        <w:trPr>
          <w:trHeight w:val="2170"/>
        </w:trPr>
        <w:tc>
          <w:tcPr>
            <w:tcW w:w="5997" w:type="dxa"/>
            <w:tcBorders>
              <w:top w:val="single" w:color="FFFFFF" w:sz="24" w:space="0"/>
              <w:left w:val="single" w:color="FFFFFF" w:sz="8" w:space="0"/>
              <w:bottom w:val="single" w:color="FFFFFF" w:sz="8" w:space="0"/>
              <w:right w:val="single" w:color="FFFFFF" w:sz="8" w:space="0"/>
            </w:tcBorders>
            <w:shd w:val="clear" w:color="auto" w:fill="5B9BD5"/>
            <w:tcMar>
              <w:top w:w="15" w:type="dxa"/>
              <w:left w:w="95" w:type="dxa"/>
              <w:bottom w:w="0" w:type="dxa"/>
              <w:right w:w="95" w:type="dxa"/>
            </w:tcMar>
            <w:hideMark/>
          </w:tcPr>
          <w:p w:rsidRPr="009D05A5" w:rsidR="00FC63E2" w:rsidP="00FC63E2" w:rsidRDefault="00FC63E2" w14:paraId="1F31F189" w14:textId="77777777">
            <w:pPr>
              <w:spacing w:line="360" w:lineRule="auto"/>
              <w:rPr>
                <w:rFonts w:ascii="Arial" w:hAnsi="Arial" w:cs="Arial"/>
              </w:rPr>
            </w:pPr>
            <w:r w:rsidRPr="009D05A5">
              <w:rPr>
                <w:rFonts w:ascii="Arial" w:hAnsi="Arial" w:cs="Arial"/>
                <w:b/>
                <w:bCs/>
              </w:rPr>
              <w:t xml:space="preserve">Evaluating the effects of cultural immersion on counsellor trainees’ multicultural development and intercultural competence: A Meta synthesis of qualitative evidence (Kuo, Hussein, Makhzoum, </w:t>
            </w:r>
            <w:proofErr w:type="spellStart"/>
            <w:r w:rsidRPr="009D05A5">
              <w:rPr>
                <w:rFonts w:ascii="Arial" w:hAnsi="Arial" w:cs="Arial"/>
                <w:b/>
                <w:bCs/>
              </w:rPr>
              <w:t>Sabhnani</w:t>
            </w:r>
            <w:proofErr w:type="spellEnd"/>
            <w:r w:rsidRPr="009D05A5">
              <w:rPr>
                <w:rFonts w:ascii="Arial" w:hAnsi="Arial" w:cs="Arial"/>
                <w:b/>
                <w:bCs/>
              </w:rPr>
              <w:t xml:space="preserve">, &amp; </w:t>
            </w:r>
            <w:proofErr w:type="spellStart"/>
            <w:r w:rsidRPr="009D05A5">
              <w:rPr>
                <w:rFonts w:ascii="Arial" w:hAnsi="Arial" w:cs="Arial"/>
                <w:b/>
                <w:bCs/>
              </w:rPr>
              <w:t>Zvric</w:t>
            </w:r>
            <w:proofErr w:type="spellEnd"/>
            <w:r w:rsidRPr="009D05A5">
              <w:rPr>
                <w:rFonts w:ascii="Arial" w:hAnsi="Arial" w:cs="Arial"/>
                <w:b/>
                <w:bCs/>
              </w:rPr>
              <w:t xml:space="preserve">, 2023). </w:t>
            </w:r>
          </w:p>
          <w:p w:rsidRPr="009D05A5" w:rsidR="00FC63E2" w:rsidP="00FC63E2" w:rsidRDefault="00FC63E2" w14:paraId="5A0BE5C4" w14:textId="77777777">
            <w:pPr>
              <w:spacing w:line="360" w:lineRule="auto"/>
              <w:rPr>
                <w:rFonts w:ascii="Arial" w:hAnsi="Arial" w:cs="Arial"/>
              </w:rPr>
            </w:pPr>
            <w:r w:rsidRPr="009D05A5">
              <w:rPr>
                <w:rFonts w:ascii="Arial" w:hAnsi="Arial" w:cs="Arial"/>
                <w:b/>
                <w:bCs/>
              </w:rPr>
              <w:t> </w:t>
            </w:r>
          </w:p>
        </w:tc>
        <w:tc>
          <w:tcPr>
            <w:tcW w:w="2045" w:type="dxa"/>
            <w:tcBorders>
              <w:top w:val="single" w:color="FFFFFF" w:sz="24" w:space="0"/>
              <w:left w:val="single" w:color="FFFFFF" w:sz="8" w:space="0"/>
              <w:bottom w:val="single" w:color="FFFFFF" w:sz="8" w:space="0"/>
              <w:right w:val="single" w:color="FFFFFF" w:sz="8" w:space="0"/>
            </w:tcBorders>
            <w:shd w:val="clear" w:color="auto" w:fill="D2DEEF"/>
            <w:tcMar>
              <w:top w:w="15" w:type="dxa"/>
              <w:left w:w="95" w:type="dxa"/>
              <w:bottom w:w="0" w:type="dxa"/>
              <w:right w:w="95" w:type="dxa"/>
            </w:tcMar>
            <w:hideMark/>
          </w:tcPr>
          <w:p w:rsidRPr="009D05A5" w:rsidR="00FC63E2" w:rsidP="00FC63E2" w:rsidRDefault="00FC63E2" w14:paraId="157A779B" w14:textId="77777777">
            <w:pPr>
              <w:spacing w:line="360" w:lineRule="auto"/>
              <w:rPr>
                <w:rFonts w:ascii="Arial" w:hAnsi="Arial" w:cs="Arial"/>
              </w:rPr>
            </w:pPr>
            <w:r w:rsidRPr="009D05A5">
              <w:rPr>
                <w:rFonts w:ascii="Arial" w:hAnsi="Arial" w:cs="Arial"/>
              </w:rPr>
              <w:t>Meta synthesis, directed content analysis framework.</w:t>
            </w:r>
          </w:p>
        </w:tc>
        <w:tc>
          <w:tcPr>
            <w:tcW w:w="3494" w:type="dxa"/>
            <w:tcBorders>
              <w:top w:val="single" w:color="FFFFFF" w:sz="24" w:space="0"/>
              <w:left w:val="single" w:color="FFFFFF" w:sz="8" w:space="0"/>
              <w:bottom w:val="single" w:color="FFFFFF" w:sz="8" w:space="0"/>
              <w:right w:val="single" w:color="FFFFFF" w:sz="8" w:space="0"/>
            </w:tcBorders>
            <w:shd w:val="clear" w:color="auto" w:fill="D2DEEF"/>
            <w:tcMar>
              <w:top w:w="15" w:type="dxa"/>
              <w:left w:w="95" w:type="dxa"/>
              <w:bottom w:w="0" w:type="dxa"/>
              <w:right w:w="95" w:type="dxa"/>
            </w:tcMar>
            <w:hideMark/>
          </w:tcPr>
          <w:p w:rsidRPr="009D05A5" w:rsidR="00FC63E2" w:rsidP="00FC63E2" w:rsidRDefault="00FC63E2" w14:paraId="164B4243" w14:textId="77777777">
            <w:pPr>
              <w:spacing w:line="360" w:lineRule="auto"/>
              <w:rPr>
                <w:rFonts w:ascii="Arial" w:hAnsi="Arial" w:cs="Arial"/>
              </w:rPr>
            </w:pPr>
            <w:r w:rsidRPr="009D05A5">
              <w:rPr>
                <w:rFonts w:ascii="Arial" w:hAnsi="Arial" w:cs="Arial"/>
              </w:rPr>
              <w:t>The Impact of Cultural Immersion on Multicultural Development in Counsellor Training</w:t>
            </w:r>
          </w:p>
        </w:tc>
      </w:tr>
      <w:tr w:rsidRPr="009D05A5" w:rsidR="00FC63E2" w:rsidTr="00D97F0A" w14:paraId="3DFB3619" w14:textId="77777777">
        <w:trPr>
          <w:trHeight w:val="1679"/>
        </w:trPr>
        <w:tc>
          <w:tcPr>
            <w:tcW w:w="5997" w:type="dxa"/>
            <w:tcBorders>
              <w:top w:val="single" w:color="FFFFFF" w:sz="8" w:space="0"/>
              <w:left w:val="single" w:color="FFFFFF" w:sz="8" w:space="0"/>
              <w:bottom w:val="single" w:color="FFFFFF" w:sz="8" w:space="0"/>
              <w:right w:val="single" w:color="FFFFFF" w:sz="8" w:space="0"/>
            </w:tcBorders>
            <w:shd w:val="clear" w:color="auto" w:fill="5B9BD5"/>
            <w:tcMar>
              <w:top w:w="15" w:type="dxa"/>
              <w:left w:w="95" w:type="dxa"/>
              <w:bottom w:w="0" w:type="dxa"/>
              <w:right w:w="95" w:type="dxa"/>
            </w:tcMar>
            <w:hideMark/>
          </w:tcPr>
          <w:p w:rsidRPr="009D05A5" w:rsidR="00FC63E2" w:rsidP="00FC63E2" w:rsidRDefault="00FC63E2" w14:paraId="246F9A85" w14:textId="77777777">
            <w:pPr>
              <w:spacing w:line="360" w:lineRule="auto"/>
              <w:rPr>
                <w:rFonts w:ascii="Arial" w:hAnsi="Arial" w:cs="Arial"/>
              </w:rPr>
            </w:pPr>
            <w:r w:rsidRPr="009D05A5">
              <w:rPr>
                <w:rFonts w:ascii="Arial" w:hAnsi="Arial" w:cs="Arial"/>
                <w:b/>
                <w:bCs/>
              </w:rPr>
              <w:t>Religion and spirituality in therapeutic training in the UK: A survey of current and recent trainees (Hunt, 2024).</w:t>
            </w:r>
          </w:p>
          <w:p w:rsidRPr="009D05A5" w:rsidR="00FC63E2" w:rsidP="00FC63E2" w:rsidRDefault="00FC63E2" w14:paraId="68879477" w14:textId="77777777">
            <w:pPr>
              <w:spacing w:line="360" w:lineRule="auto"/>
              <w:rPr>
                <w:rFonts w:ascii="Arial" w:hAnsi="Arial" w:cs="Arial"/>
              </w:rPr>
            </w:pPr>
            <w:r w:rsidRPr="009D05A5">
              <w:rPr>
                <w:rFonts w:ascii="Arial" w:hAnsi="Arial" w:cs="Arial"/>
                <w:b/>
                <w:bCs/>
              </w:rPr>
              <w:t> </w:t>
            </w:r>
          </w:p>
          <w:p w:rsidRPr="009D05A5" w:rsidR="00FC63E2" w:rsidP="00FC63E2" w:rsidRDefault="00FC63E2" w14:paraId="34578341" w14:textId="77777777">
            <w:pPr>
              <w:spacing w:line="360" w:lineRule="auto"/>
              <w:rPr>
                <w:rFonts w:ascii="Arial" w:hAnsi="Arial" w:cs="Arial"/>
              </w:rPr>
            </w:pPr>
            <w:r w:rsidRPr="009D05A5">
              <w:rPr>
                <w:rFonts w:ascii="Arial" w:hAnsi="Arial" w:cs="Arial"/>
                <w:b/>
                <w:bCs/>
              </w:rPr>
              <w:t> </w:t>
            </w:r>
          </w:p>
        </w:tc>
        <w:tc>
          <w:tcPr>
            <w:tcW w:w="2045" w:type="dxa"/>
            <w:tcBorders>
              <w:top w:val="single" w:color="FFFFFF" w:sz="8" w:space="0"/>
              <w:left w:val="single" w:color="FFFFFF" w:sz="8" w:space="0"/>
              <w:bottom w:val="single" w:color="FFFFFF" w:sz="8" w:space="0"/>
              <w:right w:val="single" w:color="FFFFFF" w:sz="8" w:space="0"/>
            </w:tcBorders>
            <w:shd w:val="clear" w:color="auto" w:fill="EAEFF7"/>
            <w:tcMar>
              <w:top w:w="15" w:type="dxa"/>
              <w:left w:w="95" w:type="dxa"/>
              <w:bottom w:w="0" w:type="dxa"/>
              <w:right w:w="95" w:type="dxa"/>
            </w:tcMar>
            <w:hideMark/>
          </w:tcPr>
          <w:p w:rsidRPr="009D05A5" w:rsidR="00FC63E2" w:rsidP="00FC63E2" w:rsidRDefault="00FC63E2" w14:paraId="1C532F47" w14:textId="77777777">
            <w:pPr>
              <w:spacing w:line="360" w:lineRule="auto"/>
              <w:rPr>
                <w:rFonts w:ascii="Arial" w:hAnsi="Arial" w:cs="Arial"/>
              </w:rPr>
            </w:pPr>
            <w:r w:rsidRPr="009D05A5">
              <w:rPr>
                <w:rFonts w:ascii="Arial" w:hAnsi="Arial" w:cs="Arial"/>
              </w:rPr>
              <w:t>Online survey, descriptive statistics, thematic analysis.</w:t>
            </w:r>
          </w:p>
        </w:tc>
        <w:tc>
          <w:tcPr>
            <w:tcW w:w="3494" w:type="dxa"/>
            <w:tcBorders>
              <w:top w:val="single" w:color="FFFFFF" w:sz="8" w:space="0"/>
              <w:left w:val="single" w:color="FFFFFF" w:sz="8" w:space="0"/>
              <w:bottom w:val="single" w:color="FFFFFF" w:sz="8" w:space="0"/>
              <w:right w:val="single" w:color="FFFFFF" w:sz="8" w:space="0"/>
            </w:tcBorders>
            <w:shd w:val="clear" w:color="auto" w:fill="EAEFF7"/>
            <w:tcMar>
              <w:top w:w="15" w:type="dxa"/>
              <w:left w:w="95" w:type="dxa"/>
              <w:bottom w:w="0" w:type="dxa"/>
              <w:right w:w="95" w:type="dxa"/>
            </w:tcMar>
            <w:hideMark/>
          </w:tcPr>
          <w:p w:rsidRPr="009D05A5" w:rsidR="00FC63E2" w:rsidP="00FC63E2" w:rsidRDefault="00FC63E2" w14:paraId="3E498864" w14:textId="77777777">
            <w:pPr>
              <w:spacing w:line="360" w:lineRule="auto"/>
              <w:rPr>
                <w:rFonts w:ascii="Arial" w:hAnsi="Arial" w:cs="Arial"/>
              </w:rPr>
            </w:pPr>
            <w:r w:rsidRPr="009D05A5">
              <w:rPr>
                <w:rFonts w:ascii="Arial" w:hAnsi="Arial" w:cs="Arial"/>
              </w:rPr>
              <w:t>Incorporating Religion and   Spirituality into Counselling Training in the UK</w:t>
            </w:r>
          </w:p>
          <w:p w:rsidRPr="009D05A5" w:rsidR="00FC63E2" w:rsidP="00FC63E2" w:rsidRDefault="00FC63E2" w14:paraId="260236C0" w14:textId="77777777">
            <w:pPr>
              <w:spacing w:line="360" w:lineRule="auto"/>
              <w:rPr>
                <w:rFonts w:ascii="Arial" w:hAnsi="Arial" w:cs="Arial"/>
              </w:rPr>
            </w:pPr>
            <w:r w:rsidRPr="009D05A5">
              <w:rPr>
                <w:rFonts w:ascii="Arial" w:hAnsi="Arial" w:cs="Arial"/>
              </w:rPr>
              <w:t> </w:t>
            </w:r>
          </w:p>
        </w:tc>
      </w:tr>
      <w:tr w:rsidRPr="009D05A5" w:rsidR="00FC63E2" w:rsidTr="00D97F0A" w14:paraId="1ABEAC8C" w14:textId="77777777">
        <w:trPr>
          <w:trHeight w:val="2169"/>
        </w:trPr>
        <w:tc>
          <w:tcPr>
            <w:tcW w:w="5997" w:type="dxa"/>
            <w:tcBorders>
              <w:top w:val="single" w:color="FFFFFF" w:sz="8" w:space="0"/>
              <w:left w:val="single" w:color="FFFFFF" w:sz="8" w:space="0"/>
              <w:bottom w:val="single" w:color="FFFFFF" w:sz="8" w:space="0"/>
              <w:right w:val="single" w:color="FFFFFF" w:sz="8" w:space="0"/>
            </w:tcBorders>
            <w:shd w:val="clear" w:color="auto" w:fill="5B9BD5"/>
            <w:tcMar>
              <w:top w:w="15" w:type="dxa"/>
              <w:left w:w="95" w:type="dxa"/>
              <w:bottom w:w="0" w:type="dxa"/>
              <w:right w:w="95" w:type="dxa"/>
            </w:tcMar>
            <w:hideMark/>
          </w:tcPr>
          <w:p w:rsidRPr="009D05A5" w:rsidR="00FC63E2" w:rsidP="00FC63E2" w:rsidRDefault="00FC63E2" w14:paraId="69572875" w14:textId="77777777">
            <w:pPr>
              <w:spacing w:line="360" w:lineRule="auto"/>
              <w:rPr>
                <w:rFonts w:ascii="Arial" w:hAnsi="Arial" w:cs="Arial"/>
              </w:rPr>
            </w:pPr>
            <w:r w:rsidRPr="009D05A5">
              <w:rPr>
                <w:rFonts w:ascii="Arial" w:hAnsi="Arial" w:cs="Arial"/>
                <w:b/>
                <w:bCs/>
              </w:rPr>
              <w:t>The perceived impact of counselling training on students' personal relationships (Daldorph &amp; Hill, 2022).</w:t>
            </w:r>
          </w:p>
          <w:p w:rsidRPr="009D05A5" w:rsidR="00FC63E2" w:rsidP="00FC63E2" w:rsidRDefault="00FC63E2" w14:paraId="4FB8065E" w14:textId="77777777">
            <w:pPr>
              <w:spacing w:line="360" w:lineRule="auto"/>
              <w:rPr>
                <w:rFonts w:ascii="Arial" w:hAnsi="Arial" w:cs="Arial"/>
              </w:rPr>
            </w:pPr>
            <w:r w:rsidRPr="009D05A5">
              <w:rPr>
                <w:rFonts w:ascii="Arial" w:hAnsi="Arial" w:cs="Arial"/>
                <w:b/>
                <w:bCs/>
              </w:rPr>
              <w:t> </w:t>
            </w:r>
          </w:p>
        </w:tc>
        <w:tc>
          <w:tcPr>
            <w:tcW w:w="2045" w:type="dxa"/>
            <w:tcBorders>
              <w:top w:val="single" w:color="FFFFFF" w:sz="8" w:space="0"/>
              <w:left w:val="single" w:color="FFFFFF" w:sz="8" w:space="0"/>
              <w:bottom w:val="single" w:color="FFFFFF" w:sz="8" w:space="0"/>
              <w:right w:val="single" w:color="FFFFFF" w:sz="8" w:space="0"/>
            </w:tcBorders>
            <w:shd w:val="clear" w:color="auto" w:fill="D2DEEF"/>
            <w:tcMar>
              <w:top w:w="15" w:type="dxa"/>
              <w:left w:w="95" w:type="dxa"/>
              <w:bottom w:w="0" w:type="dxa"/>
              <w:right w:w="95" w:type="dxa"/>
            </w:tcMar>
            <w:hideMark/>
          </w:tcPr>
          <w:p w:rsidRPr="009D05A5" w:rsidR="00FC63E2" w:rsidP="00FC63E2" w:rsidRDefault="00FC63E2" w14:paraId="61D91345" w14:textId="77777777">
            <w:pPr>
              <w:spacing w:line="360" w:lineRule="auto"/>
              <w:rPr>
                <w:rFonts w:ascii="Arial" w:hAnsi="Arial" w:cs="Arial"/>
              </w:rPr>
            </w:pPr>
            <w:r w:rsidRPr="009D05A5">
              <w:rPr>
                <w:rFonts w:ascii="Arial" w:hAnsi="Arial" w:cs="Arial"/>
              </w:rPr>
              <w:t>Volunteer sampling, semi-structured interviews, interpretative phenomenological analysis.</w:t>
            </w:r>
          </w:p>
        </w:tc>
        <w:tc>
          <w:tcPr>
            <w:tcW w:w="3494" w:type="dxa"/>
            <w:tcBorders>
              <w:top w:val="single" w:color="FFFFFF" w:sz="8" w:space="0"/>
              <w:left w:val="single" w:color="FFFFFF" w:sz="8" w:space="0"/>
              <w:bottom w:val="single" w:color="FFFFFF" w:sz="8" w:space="0"/>
              <w:right w:val="single" w:color="FFFFFF" w:sz="8" w:space="0"/>
            </w:tcBorders>
            <w:shd w:val="clear" w:color="auto" w:fill="D2DEEF"/>
            <w:tcMar>
              <w:top w:w="15" w:type="dxa"/>
              <w:left w:w="95" w:type="dxa"/>
              <w:bottom w:w="0" w:type="dxa"/>
              <w:right w:w="95" w:type="dxa"/>
            </w:tcMar>
            <w:hideMark/>
          </w:tcPr>
          <w:p w:rsidRPr="009D05A5" w:rsidR="00FC63E2" w:rsidP="00FC63E2" w:rsidRDefault="00FC63E2" w14:paraId="5FC53713" w14:textId="77777777">
            <w:pPr>
              <w:spacing w:line="360" w:lineRule="auto"/>
              <w:rPr>
                <w:rFonts w:ascii="Arial" w:hAnsi="Arial" w:cs="Arial"/>
              </w:rPr>
            </w:pPr>
            <w:r w:rsidRPr="009D05A5">
              <w:rPr>
                <w:rFonts w:ascii="Arial" w:hAnsi="Arial" w:cs="Arial"/>
              </w:rPr>
              <w:t>The Impact of Counselling Training on Students' Interpersonal Relationships</w:t>
            </w:r>
          </w:p>
          <w:p w:rsidRPr="009D05A5" w:rsidR="00FC63E2" w:rsidP="00FC63E2" w:rsidRDefault="00FC63E2" w14:paraId="2BDEBB28" w14:textId="77777777">
            <w:pPr>
              <w:spacing w:line="360" w:lineRule="auto"/>
              <w:rPr>
                <w:rFonts w:ascii="Arial" w:hAnsi="Arial" w:cs="Arial"/>
              </w:rPr>
            </w:pPr>
            <w:r w:rsidRPr="009D05A5">
              <w:rPr>
                <w:rFonts w:ascii="Arial" w:hAnsi="Arial" w:cs="Arial"/>
              </w:rPr>
              <w:t> </w:t>
            </w:r>
          </w:p>
        </w:tc>
      </w:tr>
      <w:tr w:rsidRPr="009D05A5" w:rsidR="00FC63E2" w:rsidTr="00D97F0A" w14:paraId="59B106BA" w14:textId="77777777">
        <w:trPr>
          <w:trHeight w:val="2538"/>
        </w:trPr>
        <w:tc>
          <w:tcPr>
            <w:tcW w:w="5997" w:type="dxa"/>
            <w:tcBorders>
              <w:top w:val="single" w:color="FFFFFF" w:sz="8" w:space="0"/>
              <w:left w:val="single" w:color="FFFFFF" w:sz="8" w:space="0"/>
              <w:bottom w:val="single" w:color="FFFFFF" w:sz="8" w:space="0"/>
              <w:right w:val="single" w:color="FFFFFF" w:sz="8" w:space="0"/>
            </w:tcBorders>
            <w:shd w:val="clear" w:color="auto" w:fill="5B9BD5"/>
            <w:tcMar>
              <w:top w:w="15" w:type="dxa"/>
              <w:left w:w="95" w:type="dxa"/>
              <w:bottom w:w="0" w:type="dxa"/>
              <w:right w:w="95" w:type="dxa"/>
            </w:tcMar>
            <w:hideMark/>
          </w:tcPr>
          <w:p w:rsidRPr="009D05A5" w:rsidR="00FC63E2" w:rsidP="00FC63E2" w:rsidRDefault="00FC63E2" w14:paraId="1FEE477C" w14:textId="77777777">
            <w:pPr>
              <w:spacing w:line="360" w:lineRule="auto"/>
              <w:rPr>
                <w:rFonts w:ascii="Arial" w:hAnsi="Arial" w:cs="Arial"/>
              </w:rPr>
            </w:pPr>
            <w:r w:rsidRPr="009D05A5">
              <w:rPr>
                <w:rFonts w:ascii="Arial" w:hAnsi="Arial" w:cs="Arial"/>
                <w:b/>
                <w:bCs/>
              </w:rPr>
              <w:t>Group Therapy Trainees’ Social Learning and Interpersonal Awareness: The Role of Cohesion in Training Groups (Martin Kivlighan et al., 2019).</w:t>
            </w:r>
          </w:p>
          <w:p w:rsidRPr="009D05A5" w:rsidR="00FC63E2" w:rsidP="00FC63E2" w:rsidRDefault="00FC63E2" w14:paraId="1339249C" w14:textId="77777777">
            <w:pPr>
              <w:spacing w:line="360" w:lineRule="auto"/>
              <w:rPr>
                <w:rFonts w:ascii="Arial" w:hAnsi="Arial" w:cs="Arial"/>
              </w:rPr>
            </w:pPr>
            <w:r w:rsidRPr="009D05A5">
              <w:rPr>
                <w:rFonts w:ascii="Arial" w:hAnsi="Arial" w:cs="Arial"/>
                <w:b/>
                <w:bCs/>
              </w:rPr>
              <w:t> </w:t>
            </w:r>
          </w:p>
          <w:p w:rsidRPr="009D05A5" w:rsidR="00FC63E2" w:rsidP="00FC63E2" w:rsidRDefault="00FC63E2" w14:paraId="123E2FDE" w14:textId="77777777">
            <w:pPr>
              <w:spacing w:line="360" w:lineRule="auto"/>
              <w:rPr>
                <w:rFonts w:ascii="Arial" w:hAnsi="Arial" w:cs="Arial"/>
              </w:rPr>
            </w:pPr>
            <w:r w:rsidRPr="009D05A5">
              <w:rPr>
                <w:rFonts w:ascii="Arial" w:hAnsi="Arial" w:cs="Arial"/>
                <w:b/>
                <w:bCs/>
              </w:rPr>
              <w:t> </w:t>
            </w:r>
          </w:p>
        </w:tc>
        <w:tc>
          <w:tcPr>
            <w:tcW w:w="2045" w:type="dxa"/>
            <w:tcBorders>
              <w:top w:val="single" w:color="FFFFFF" w:sz="8" w:space="0"/>
              <w:left w:val="single" w:color="FFFFFF" w:sz="8" w:space="0"/>
              <w:bottom w:val="single" w:color="FFFFFF" w:sz="8" w:space="0"/>
              <w:right w:val="single" w:color="FFFFFF" w:sz="8" w:space="0"/>
            </w:tcBorders>
            <w:shd w:val="clear" w:color="auto" w:fill="EAEFF7"/>
            <w:tcMar>
              <w:top w:w="15" w:type="dxa"/>
              <w:left w:w="95" w:type="dxa"/>
              <w:bottom w:w="0" w:type="dxa"/>
              <w:right w:w="95" w:type="dxa"/>
            </w:tcMar>
            <w:hideMark/>
          </w:tcPr>
          <w:p w:rsidRPr="009D05A5" w:rsidR="00FC63E2" w:rsidP="00FC63E2" w:rsidRDefault="00FC63E2" w14:paraId="76BF1E27" w14:textId="77777777">
            <w:pPr>
              <w:spacing w:line="360" w:lineRule="auto"/>
              <w:rPr>
                <w:rFonts w:ascii="Arial" w:hAnsi="Arial" w:cs="Arial"/>
              </w:rPr>
            </w:pPr>
            <w:r w:rsidRPr="009D05A5">
              <w:rPr>
                <w:rFonts w:ascii="Arial" w:hAnsi="Arial" w:cs="Arial"/>
              </w:rPr>
              <w:t>Empirical study, group cohesion, session-to-session development.</w:t>
            </w:r>
          </w:p>
        </w:tc>
        <w:tc>
          <w:tcPr>
            <w:tcW w:w="3494" w:type="dxa"/>
            <w:tcBorders>
              <w:top w:val="single" w:color="FFFFFF" w:sz="8" w:space="0"/>
              <w:left w:val="single" w:color="FFFFFF" w:sz="8" w:space="0"/>
              <w:bottom w:val="single" w:color="FFFFFF" w:sz="8" w:space="0"/>
              <w:right w:val="single" w:color="FFFFFF" w:sz="8" w:space="0"/>
            </w:tcBorders>
            <w:shd w:val="clear" w:color="auto" w:fill="EAEFF7"/>
            <w:tcMar>
              <w:top w:w="15" w:type="dxa"/>
              <w:left w:w="95" w:type="dxa"/>
              <w:bottom w:w="0" w:type="dxa"/>
              <w:right w:w="95" w:type="dxa"/>
            </w:tcMar>
            <w:hideMark/>
          </w:tcPr>
          <w:p w:rsidRPr="009D05A5" w:rsidR="00FC63E2" w:rsidP="00FC63E2" w:rsidRDefault="00FC63E2" w14:paraId="1CF4BB73" w14:textId="77777777">
            <w:pPr>
              <w:spacing w:line="360" w:lineRule="auto"/>
              <w:rPr>
                <w:rFonts w:ascii="Arial" w:hAnsi="Arial" w:cs="Arial"/>
              </w:rPr>
            </w:pPr>
            <w:r w:rsidRPr="009D05A5">
              <w:rPr>
                <w:rFonts w:ascii="Arial" w:hAnsi="Arial" w:cs="Arial"/>
              </w:rPr>
              <w:t>Impact of Group Cohesion on Social Learning and Interpersonal Awareness in Experiential Training Groups</w:t>
            </w:r>
          </w:p>
          <w:p w:rsidRPr="009D05A5" w:rsidR="00FC63E2" w:rsidP="00FC63E2" w:rsidRDefault="00FC63E2" w14:paraId="73C7F939" w14:textId="77777777">
            <w:pPr>
              <w:spacing w:line="360" w:lineRule="auto"/>
              <w:rPr>
                <w:rFonts w:ascii="Arial" w:hAnsi="Arial" w:cs="Arial"/>
              </w:rPr>
            </w:pPr>
            <w:r w:rsidRPr="009D05A5">
              <w:rPr>
                <w:rFonts w:ascii="Arial" w:hAnsi="Arial" w:cs="Arial"/>
              </w:rPr>
              <w:t> </w:t>
            </w:r>
          </w:p>
        </w:tc>
      </w:tr>
      <w:tr w:rsidRPr="009D05A5" w:rsidR="00FC63E2" w:rsidTr="00D97F0A" w14:paraId="1E76A40F" w14:textId="77777777">
        <w:trPr>
          <w:trHeight w:val="1065"/>
        </w:trPr>
        <w:tc>
          <w:tcPr>
            <w:tcW w:w="5997" w:type="dxa"/>
            <w:tcBorders>
              <w:top w:val="single" w:color="FFFFFF" w:sz="8" w:space="0"/>
              <w:left w:val="single" w:color="FFFFFF" w:sz="8" w:space="0"/>
              <w:bottom w:val="single" w:color="FFFFFF" w:sz="8" w:space="0"/>
              <w:right w:val="single" w:color="FFFFFF" w:sz="8" w:space="0"/>
            </w:tcBorders>
            <w:shd w:val="clear" w:color="auto" w:fill="5B9BD5"/>
            <w:tcMar>
              <w:top w:w="15" w:type="dxa"/>
              <w:left w:w="95" w:type="dxa"/>
              <w:bottom w:w="0" w:type="dxa"/>
              <w:right w:w="95" w:type="dxa"/>
            </w:tcMar>
            <w:hideMark/>
          </w:tcPr>
          <w:p w:rsidRPr="009D05A5" w:rsidR="00FC63E2" w:rsidP="00FC63E2" w:rsidRDefault="00FC63E2" w14:paraId="775BF38B" w14:textId="77777777">
            <w:pPr>
              <w:spacing w:line="360" w:lineRule="auto"/>
              <w:rPr>
                <w:rFonts w:ascii="Arial" w:hAnsi="Arial" w:cs="Arial"/>
              </w:rPr>
            </w:pPr>
            <w:r w:rsidRPr="009D05A5">
              <w:rPr>
                <w:rFonts w:ascii="Arial" w:hAnsi="Arial" w:cs="Arial"/>
                <w:b/>
                <w:bCs/>
              </w:rPr>
              <w:t xml:space="preserve">How do counselling trainees describe group process and does this change over time? Murphy &amp; Schofield, 2023). </w:t>
            </w:r>
          </w:p>
          <w:p w:rsidRPr="009D05A5" w:rsidR="00FC63E2" w:rsidP="00FC63E2" w:rsidRDefault="00FC63E2" w14:paraId="1D9B23DE" w14:textId="77777777">
            <w:pPr>
              <w:spacing w:line="360" w:lineRule="auto"/>
              <w:rPr>
                <w:rFonts w:ascii="Arial" w:hAnsi="Arial" w:cs="Arial"/>
              </w:rPr>
            </w:pPr>
            <w:r w:rsidRPr="009D05A5">
              <w:rPr>
                <w:rFonts w:ascii="Arial" w:hAnsi="Arial" w:cs="Arial"/>
                <w:b/>
                <w:bCs/>
              </w:rPr>
              <w:t> </w:t>
            </w:r>
          </w:p>
        </w:tc>
        <w:tc>
          <w:tcPr>
            <w:tcW w:w="2045" w:type="dxa"/>
            <w:tcBorders>
              <w:top w:val="single" w:color="FFFFFF" w:sz="8" w:space="0"/>
              <w:left w:val="single" w:color="FFFFFF" w:sz="8" w:space="0"/>
              <w:bottom w:val="single" w:color="FFFFFF" w:sz="8" w:space="0"/>
              <w:right w:val="single" w:color="FFFFFF" w:sz="8" w:space="0"/>
            </w:tcBorders>
            <w:shd w:val="clear" w:color="auto" w:fill="D2DEEF"/>
            <w:tcMar>
              <w:top w:w="15" w:type="dxa"/>
              <w:left w:w="95" w:type="dxa"/>
              <w:bottom w:w="0" w:type="dxa"/>
              <w:right w:w="95" w:type="dxa"/>
            </w:tcMar>
            <w:hideMark/>
          </w:tcPr>
          <w:p w:rsidRPr="009D05A5" w:rsidR="00FC63E2" w:rsidP="00FC63E2" w:rsidRDefault="00FC63E2" w14:paraId="63BBC59A" w14:textId="77777777">
            <w:pPr>
              <w:spacing w:line="360" w:lineRule="auto"/>
              <w:rPr>
                <w:rFonts w:ascii="Arial" w:hAnsi="Arial" w:cs="Arial"/>
              </w:rPr>
            </w:pPr>
            <w:r w:rsidRPr="009D05A5">
              <w:rPr>
                <w:rFonts w:ascii="Arial" w:hAnsi="Arial" w:cs="Arial"/>
              </w:rPr>
              <w:t>Qualitative Surveys</w:t>
            </w:r>
          </w:p>
        </w:tc>
        <w:tc>
          <w:tcPr>
            <w:tcW w:w="3494" w:type="dxa"/>
            <w:tcBorders>
              <w:top w:val="single" w:color="FFFFFF" w:sz="8" w:space="0"/>
              <w:left w:val="single" w:color="FFFFFF" w:sz="8" w:space="0"/>
              <w:bottom w:val="single" w:color="FFFFFF" w:sz="8" w:space="0"/>
              <w:right w:val="single" w:color="FFFFFF" w:sz="8" w:space="0"/>
            </w:tcBorders>
            <w:shd w:val="clear" w:color="auto" w:fill="D2DEEF"/>
            <w:tcMar>
              <w:top w:w="15" w:type="dxa"/>
              <w:left w:w="95" w:type="dxa"/>
              <w:bottom w:w="0" w:type="dxa"/>
              <w:right w:w="95" w:type="dxa"/>
            </w:tcMar>
            <w:hideMark/>
          </w:tcPr>
          <w:p w:rsidRPr="009D05A5" w:rsidR="00FC63E2" w:rsidP="00FC63E2" w:rsidRDefault="00FC63E2" w14:paraId="35988980" w14:textId="77777777">
            <w:pPr>
              <w:spacing w:line="360" w:lineRule="auto"/>
              <w:rPr>
                <w:rFonts w:ascii="Arial" w:hAnsi="Arial" w:cs="Arial"/>
              </w:rPr>
            </w:pPr>
            <w:r w:rsidRPr="009D05A5">
              <w:rPr>
                <w:rFonts w:ascii="Arial" w:hAnsi="Arial" w:cs="Arial"/>
              </w:rPr>
              <w:t>Exploring the Role of Group Cohesion and Conflict in Counsellor Training</w:t>
            </w:r>
          </w:p>
          <w:p w:rsidRPr="009D05A5" w:rsidR="00FC63E2" w:rsidP="00FC63E2" w:rsidRDefault="00FC63E2" w14:paraId="37DFC433" w14:textId="77777777">
            <w:pPr>
              <w:spacing w:line="360" w:lineRule="auto"/>
              <w:rPr>
                <w:rFonts w:ascii="Arial" w:hAnsi="Arial" w:cs="Arial"/>
              </w:rPr>
            </w:pPr>
            <w:r w:rsidRPr="009D05A5">
              <w:rPr>
                <w:rFonts w:ascii="Arial" w:hAnsi="Arial" w:cs="Arial"/>
              </w:rPr>
              <w:t> </w:t>
            </w:r>
          </w:p>
        </w:tc>
      </w:tr>
      <w:tr w:rsidRPr="009D05A5" w:rsidR="00FC63E2" w:rsidTr="00D97F0A" w14:paraId="748ECE27" w14:textId="77777777">
        <w:trPr>
          <w:trHeight w:val="3274"/>
        </w:trPr>
        <w:tc>
          <w:tcPr>
            <w:tcW w:w="5997" w:type="dxa"/>
            <w:tcBorders>
              <w:top w:val="single" w:color="FFFFFF" w:sz="8" w:space="0"/>
              <w:left w:val="single" w:color="FFFFFF" w:sz="8" w:space="0"/>
              <w:bottom w:val="single" w:color="FFFFFF" w:sz="8" w:space="0"/>
              <w:right w:val="single" w:color="FFFFFF" w:sz="8" w:space="0"/>
            </w:tcBorders>
            <w:shd w:val="clear" w:color="auto" w:fill="5B9BD5"/>
            <w:tcMar>
              <w:top w:w="15" w:type="dxa"/>
              <w:left w:w="95" w:type="dxa"/>
              <w:bottom w:w="0" w:type="dxa"/>
              <w:right w:w="95" w:type="dxa"/>
            </w:tcMar>
            <w:hideMark/>
          </w:tcPr>
          <w:p w:rsidRPr="009D05A5" w:rsidR="00FC63E2" w:rsidP="00FC63E2" w:rsidRDefault="00FC63E2" w14:paraId="48808A85" w14:textId="77777777">
            <w:pPr>
              <w:spacing w:line="360" w:lineRule="auto"/>
              <w:rPr>
                <w:rFonts w:ascii="Arial" w:hAnsi="Arial" w:cs="Arial"/>
              </w:rPr>
            </w:pPr>
            <w:r w:rsidRPr="009D05A5">
              <w:rPr>
                <w:rFonts w:ascii="Arial" w:hAnsi="Arial" w:cs="Arial"/>
                <w:b/>
                <w:bCs/>
              </w:rPr>
              <w:t>Retrospective accounts of emotional experiences during personal development groups in qualified counsellors and psychotherapists (Smith &amp; Burr, 2021).</w:t>
            </w:r>
          </w:p>
          <w:p w:rsidRPr="009D05A5" w:rsidR="00FC63E2" w:rsidP="00FC63E2" w:rsidRDefault="00FC63E2" w14:paraId="064EFD91" w14:textId="77777777">
            <w:pPr>
              <w:spacing w:line="360" w:lineRule="auto"/>
              <w:rPr>
                <w:rFonts w:ascii="Arial" w:hAnsi="Arial" w:cs="Arial"/>
              </w:rPr>
            </w:pPr>
            <w:r w:rsidRPr="009D05A5">
              <w:rPr>
                <w:rFonts w:ascii="Arial" w:hAnsi="Arial" w:cs="Arial"/>
                <w:b/>
                <w:bCs/>
              </w:rPr>
              <w:t> </w:t>
            </w:r>
          </w:p>
          <w:p w:rsidRPr="009D05A5" w:rsidR="00FC63E2" w:rsidP="00FC63E2" w:rsidRDefault="00FC63E2" w14:paraId="1F6250B6" w14:textId="77777777">
            <w:pPr>
              <w:spacing w:line="360" w:lineRule="auto"/>
              <w:rPr>
                <w:rFonts w:ascii="Arial" w:hAnsi="Arial" w:cs="Arial"/>
              </w:rPr>
            </w:pPr>
            <w:r w:rsidRPr="009D05A5">
              <w:rPr>
                <w:rFonts w:ascii="Arial" w:hAnsi="Arial" w:cs="Arial"/>
                <w:b/>
                <w:bCs/>
              </w:rPr>
              <w:t> </w:t>
            </w:r>
          </w:p>
          <w:p w:rsidRPr="009D05A5" w:rsidR="00FC63E2" w:rsidP="00FC63E2" w:rsidRDefault="00FC63E2" w14:paraId="19BF0FF7" w14:textId="77777777">
            <w:pPr>
              <w:spacing w:line="360" w:lineRule="auto"/>
              <w:rPr>
                <w:rFonts w:ascii="Arial" w:hAnsi="Arial" w:cs="Arial"/>
              </w:rPr>
            </w:pPr>
            <w:r w:rsidRPr="009D05A5">
              <w:rPr>
                <w:rFonts w:ascii="Arial" w:hAnsi="Arial" w:cs="Arial"/>
                <w:b/>
                <w:bCs/>
              </w:rPr>
              <w:t> </w:t>
            </w:r>
          </w:p>
        </w:tc>
        <w:tc>
          <w:tcPr>
            <w:tcW w:w="2045" w:type="dxa"/>
            <w:tcBorders>
              <w:top w:val="single" w:color="FFFFFF" w:sz="8" w:space="0"/>
              <w:left w:val="single" w:color="FFFFFF" w:sz="8" w:space="0"/>
              <w:bottom w:val="single" w:color="FFFFFF" w:sz="8" w:space="0"/>
              <w:right w:val="single" w:color="FFFFFF" w:sz="8" w:space="0"/>
            </w:tcBorders>
            <w:shd w:val="clear" w:color="auto" w:fill="EAEFF7"/>
            <w:tcMar>
              <w:top w:w="15" w:type="dxa"/>
              <w:left w:w="95" w:type="dxa"/>
              <w:bottom w:w="0" w:type="dxa"/>
              <w:right w:w="95" w:type="dxa"/>
            </w:tcMar>
            <w:hideMark/>
          </w:tcPr>
          <w:p w:rsidRPr="009D05A5" w:rsidR="00FC63E2" w:rsidP="00FC63E2" w:rsidRDefault="00FC63E2" w14:paraId="51D432E6" w14:textId="77777777">
            <w:pPr>
              <w:spacing w:line="360" w:lineRule="auto"/>
              <w:rPr>
                <w:rFonts w:ascii="Arial" w:hAnsi="Arial" w:cs="Arial"/>
              </w:rPr>
            </w:pPr>
            <w:r w:rsidRPr="009D05A5">
              <w:rPr>
                <w:rFonts w:ascii="Arial" w:hAnsi="Arial" w:cs="Arial"/>
              </w:rPr>
              <w:t>Semi-structured interviews, interpretative phenomenological analysis, reflection.</w:t>
            </w:r>
          </w:p>
        </w:tc>
        <w:tc>
          <w:tcPr>
            <w:tcW w:w="3494" w:type="dxa"/>
            <w:tcBorders>
              <w:top w:val="single" w:color="FFFFFF" w:sz="8" w:space="0"/>
              <w:left w:val="single" w:color="FFFFFF" w:sz="8" w:space="0"/>
              <w:bottom w:val="single" w:color="FFFFFF" w:sz="8" w:space="0"/>
              <w:right w:val="single" w:color="FFFFFF" w:sz="8" w:space="0"/>
            </w:tcBorders>
            <w:shd w:val="clear" w:color="auto" w:fill="EAEFF7"/>
            <w:tcMar>
              <w:top w:w="15" w:type="dxa"/>
              <w:left w:w="95" w:type="dxa"/>
              <w:bottom w:w="0" w:type="dxa"/>
              <w:right w:w="95" w:type="dxa"/>
            </w:tcMar>
            <w:hideMark/>
          </w:tcPr>
          <w:p w:rsidRPr="009D05A5" w:rsidR="00FC63E2" w:rsidP="00FC63E2" w:rsidRDefault="00FC63E2" w14:paraId="54B175EC" w14:textId="77777777">
            <w:pPr>
              <w:spacing w:line="360" w:lineRule="auto"/>
              <w:rPr>
                <w:rFonts w:ascii="Arial" w:hAnsi="Arial" w:cs="Arial"/>
              </w:rPr>
            </w:pPr>
            <w:r w:rsidRPr="009D05A5">
              <w:rPr>
                <w:rFonts w:ascii="Arial" w:hAnsi="Arial" w:cs="Arial"/>
              </w:rPr>
              <w:t>Challenges and Learning in Personal Development Groups for Counsellor Training</w:t>
            </w:r>
          </w:p>
          <w:p w:rsidRPr="009D05A5" w:rsidR="00FC63E2" w:rsidP="00FC63E2" w:rsidRDefault="00FC63E2" w14:paraId="3705CCCE" w14:textId="77777777">
            <w:pPr>
              <w:spacing w:line="360" w:lineRule="auto"/>
              <w:rPr>
                <w:rFonts w:ascii="Arial" w:hAnsi="Arial" w:cs="Arial"/>
              </w:rPr>
            </w:pPr>
            <w:r w:rsidRPr="009D05A5">
              <w:rPr>
                <w:rFonts w:ascii="Arial" w:hAnsi="Arial" w:cs="Arial"/>
              </w:rPr>
              <w:t> </w:t>
            </w:r>
          </w:p>
        </w:tc>
      </w:tr>
    </w:tbl>
    <w:p w:rsidRPr="009D05A5" w:rsidR="009D05A5" w:rsidP="68C2C0A4" w:rsidRDefault="009D05A5" w14:paraId="0B261A9C" w14:textId="01CAF38A">
      <w:pPr>
        <w:pStyle w:val="Normal"/>
      </w:pPr>
      <w:r w:rsidR="6B66FCE7">
        <w:rPr/>
        <w:t xml:space="preserve">counsellors a sense of purpose, resilience, and emotional balance, aiding them in managing stress and cultivating self-awareness. By reflecting on their own beliefs, they can improve cultural competence and empathy, </w:t>
      </w:r>
      <w:r w:rsidR="7C4DDE2F">
        <w:rPr/>
        <w:t>promote</w:t>
      </w:r>
      <w:r w:rsidR="6B66FCE7">
        <w:rPr/>
        <w:t xml:space="preserve"> </w:t>
      </w:r>
      <w:r w:rsidR="6B66FCE7">
        <w:rPr/>
        <w:t>respect</w:t>
      </w:r>
      <w:r w:rsidR="6B66FCE7">
        <w:rPr/>
        <w:t xml:space="preserve"> and </w:t>
      </w:r>
      <w:r w:rsidR="7C4DDE2F">
        <w:rPr/>
        <w:t>understand</w:t>
      </w:r>
      <w:r w:rsidR="6B66FCE7">
        <w:rPr/>
        <w:t xml:space="preserve"> of clients’ varied backgrounds. </w:t>
      </w:r>
      <w:r w:rsidR="6B66FCE7">
        <w:rPr/>
        <w:t>Ultimately, spirituality</w:t>
      </w:r>
      <w:r w:rsidR="6B66FCE7">
        <w:rPr/>
        <w:t xml:space="preserve"> can enhance both personal development and professional skills, provided it is approached with self-awareness and respect for the beliefs of others.</w:t>
      </w:r>
    </w:p>
    <w:p w:rsidRPr="009D05A5" w:rsidR="009D05A5" w:rsidP="68C2C0A4" w:rsidRDefault="009D05A5" w14:paraId="4FD78852" w14:textId="6F97B014">
      <w:pPr>
        <w:pStyle w:val="Normal"/>
      </w:pPr>
      <w:r w:rsidR="6B66FCE7">
        <w:rPr/>
        <w:t xml:space="preserve"> It also </w:t>
      </w:r>
      <w:r w:rsidR="7C4DDE2F">
        <w:rPr/>
        <w:t>highlights the</w:t>
      </w:r>
      <w:r w:rsidR="6B66FCE7">
        <w:rPr/>
        <w:t xml:space="preserve"> training gap that counsellors and psychotherapists face when working with religious and spiritual issues, which can </w:t>
      </w:r>
      <w:r w:rsidR="6B66FCE7">
        <w:rPr/>
        <w:t>impact</w:t>
      </w:r>
      <w:r w:rsidR="6B66FCE7">
        <w:rPr/>
        <w:t xml:space="preserve"> their professional development and competence. This article is relevant to my literature review as it underscores the lack of education in this area for trainee counsellors, potentially hindering their personal and </w:t>
      </w:r>
      <w:r w:rsidR="7C4DDE2F">
        <w:rPr/>
        <w:t>professional development</w:t>
      </w:r>
      <w:r w:rsidR="6B66FCE7">
        <w:rPr/>
        <w:t>. Future research could focus on exploring effective approaches to incorporating spirituality into therapeutic training, thereby enhancing trainees' ability to support clients with spiritual needs.</w:t>
      </w:r>
    </w:p>
    <w:p w:rsidRPr="009D05A5" w:rsidR="009D05A5" w:rsidP="68C2C0A4" w:rsidRDefault="009D05A5" w14:paraId="1A95A4B9" w14:textId="0BD28CC1">
      <w:pPr>
        <w:pStyle w:val="Normal"/>
      </w:pPr>
      <w:r w:rsidR="6B66FCE7">
        <w:rPr/>
        <w:t>A summary of the articles is presented in Table 1.</w:t>
      </w:r>
      <w:r>
        <w:br/>
      </w:r>
    </w:p>
    <w:p w:rsidRPr="009E2D55" w:rsidR="009D05A5" w:rsidP="68C2C0A4" w:rsidRDefault="009D05A5" w14:paraId="4A31F809" w14:textId="77777777">
      <w:pPr>
        <w:pStyle w:val="Normal"/>
      </w:pPr>
      <w:r w:rsidR="6B66FCE7">
        <w:rPr/>
        <w:t> </w:t>
      </w:r>
      <w:r w:rsidR="6B66FCE7">
        <w:rPr/>
        <w:t>TABLE 1 ARTICLES FOR LITERATURE   REVIEW</w:t>
      </w:r>
    </w:p>
    <w:p w:rsidRPr="009E2D55" w:rsidR="009D05A5" w:rsidP="68C2C0A4" w:rsidRDefault="009D05A5" w14:paraId="42E7AABF" w14:textId="77777777">
      <w:pPr>
        <w:pStyle w:val="Normal"/>
      </w:pPr>
    </w:p>
    <w:p w:rsidRPr="009E2D55" w:rsidR="009D05A5" w:rsidP="68C2C0A4" w:rsidRDefault="009D05A5" w14:paraId="489CEF2B" w14:textId="7A0560C2">
      <w:pPr>
        <w:pStyle w:val="Normal"/>
      </w:pPr>
    </w:p>
    <w:p w:rsidRPr="009E2D55" w:rsidR="00EE776A" w:rsidP="68C2C0A4" w:rsidRDefault="00EE776A" w14:paraId="03622867" w14:textId="74B171CE">
      <w:pPr>
        <w:pStyle w:val="Normal"/>
      </w:pPr>
      <w:r w:rsidR="6D6D453C">
        <w:rPr/>
        <w:t>LITERATURE REVIEW/ FINDINGS</w:t>
      </w:r>
    </w:p>
    <w:p w:rsidRPr="00EE776A" w:rsidR="00EE776A" w:rsidP="68C2C0A4" w:rsidRDefault="00EE776A" w14:paraId="67F27E56" w14:textId="77777777">
      <w:pPr>
        <w:pStyle w:val="Normal"/>
      </w:pPr>
      <w:r w:rsidR="6D6D453C">
        <w:rPr/>
        <w:t>The impact of</w:t>
      </w:r>
      <w:r w:rsidR="6D6D453C">
        <w:rPr/>
        <w:t xml:space="preserve"> </w:t>
      </w:r>
      <w:r w:rsidR="6D6D453C">
        <w:rPr/>
        <w:t>Cultural and Spiritual Awareness</w:t>
      </w:r>
      <w:r w:rsidR="6D6D453C">
        <w:rPr/>
        <w:t xml:space="preserve"> </w:t>
      </w:r>
      <w:r w:rsidR="6D6D453C">
        <w:rPr/>
        <w:t>in Counsellor Training:</w:t>
      </w:r>
    </w:p>
    <w:p w:rsidRPr="00EE776A" w:rsidR="00EE776A" w:rsidP="68C2C0A4" w:rsidRDefault="00EE776A" w14:paraId="5CE59942" w14:textId="77777777">
      <w:pPr>
        <w:pStyle w:val="Normal"/>
      </w:pPr>
      <w:r w:rsidR="6D6D453C">
        <w:rPr/>
        <w:t xml:space="preserve">Two out of six studies highlight important gaps in counsellor training concerning culture and spirituality. Cultural immersion (CI) helps trainees improve their empathy, cultural awareness, and communication skills (Kuo, Hussein, Makhzoum, </w:t>
      </w:r>
      <w:r w:rsidR="6D6D453C">
        <w:rPr/>
        <w:t>Sabhnani</w:t>
      </w:r>
      <w:r w:rsidR="6D6D453C">
        <w:rPr/>
        <w:t xml:space="preserve">, &amp; </w:t>
      </w:r>
      <w:r w:rsidR="6D6D453C">
        <w:rPr/>
        <w:t>Zvric</w:t>
      </w:r>
      <w:r w:rsidR="6D6D453C">
        <w:rPr/>
        <w:t>, 2023).</w:t>
      </w:r>
    </w:p>
    <w:p w:rsidRPr="00EE776A" w:rsidR="00EE776A" w:rsidP="68C2C0A4" w:rsidRDefault="00EE776A" w14:paraId="6F356805" w14:textId="77777777">
      <w:pPr>
        <w:pStyle w:val="Normal"/>
      </w:pPr>
      <w:r w:rsidR="6D6D453C">
        <w:rPr/>
        <w:t xml:space="preserve">In contrast, the Religion and Spirituality into Counsellor Training reveals that many trainees feel unprepared to handle spiritual concerns due to a lack of training in religion and spirituality (R/S). Trainees’ personal backgrounds also </w:t>
      </w:r>
      <w:r w:rsidR="6D6D453C">
        <w:rPr/>
        <w:t>impact</w:t>
      </w:r>
      <w:r w:rsidR="6D6D453C">
        <w:rPr/>
        <w:t xml:space="preserve"> their comfort in discussing these topics, with those familiar with spirituality or diverse cultures feeling more at ease (Kuo, Hussein, Makhzoum, </w:t>
      </w:r>
      <w:r w:rsidR="6D6D453C">
        <w:rPr/>
        <w:t>Sabhnani</w:t>
      </w:r>
      <w:r w:rsidR="6D6D453C">
        <w:rPr/>
        <w:t xml:space="preserve">, &amp; </w:t>
      </w:r>
      <w:r w:rsidR="6D6D453C">
        <w:rPr/>
        <w:t>Zvric</w:t>
      </w:r>
      <w:r w:rsidR="6D6D453C">
        <w:rPr/>
        <w:t>, 2023; Hunt, 2024).</w:t>
      </w:r>
    </w:p>
    <w:p w:rsidRPr="00EE776A" w:rsidR="00EE776A" w:rsidP="68C2C0A4" w:rsidRDefault="00EE776A" w14:paraId="6EE468FF" w14:textId="77777777">
      <w:pPr>
        <w:pStyle w:val="Normal"/>
      </w:pPr>
      <w:r w:rsidR="6D6D453C">
        <w:rPr/>
        <w:t xml:space="preserve"> CI boosts emotional sensitivity and adaptability, though some trainees feel uneasy in new cultural settings (Kuo, Hussein, Makhzoum, </w:t>
      </w:r>
      <w:r w:rsidR="6D6D453C">
        <w:rPr/>
        <w:t>Sabhnani</w:t>
      </w:r>
      <w:r w:rsidR="6D6D453C">
        <w:rPr/>
        <w:t xml:space="preserve">, &amp; </w:t>
      </w:r>
      <w:r w:rsidR="6D6D453C">
        <w:rPr/>
        <w:t>Zvric</w:t>
      </w:r>
      <w:r w:rsidR="6D6D453C">
        <w:rPr/>
        <w:t>, 2023).</w:t>
      </w:r>
    </w:p>
    <w:p w:rsidRPr="00EE776A" w:rsidR="00EE776A" w:rsidP="68C2C0A4" w:rsidRDefault="00EE776A" w14:paraId="4B9CEF1B" w14:textId="77777777">
      <w:pPr>
        <w:pStyle w:val="Normal"/>
      </w:pPr>
      <w:r w:rsidR="6D6D453C">
        <w:rPr/>
        <w:t>Both studies stress the need for well-structured training programmes, with the first study highlighting inconsistencies in CI programmes, and the second calling for a more systematic approach to integrating R/S into counselling training. These changes could better equip trainees to meet the diverse needs of clients.</w:t>
      </w:r>
    </w:p>
    <w:p w:rsidRPr="001F69C7" w:rsidR="001F69C7" w:rsidP="68C2C0A4" w:rsidRDefault="001F69C7" w14:paraId="3C410F5B" w14:textId="77777777">
      <w:pPr>
        <w:pStyle w:val="Normal"/>
      </w:pPr>
      <w:r w:rsidR="0FAE6588">
        <w:rPr/>
        <w:t>The Role of Group Cohesion and Conflict in Counsellor Training</w:t>
      </w:r>
    </w:p>
    <w:p w:rsidRPr="001F69C7" w:rsidR="001F69C7" w:rsidP="68C2C0A4" w:rsidRDefault="001F69C7" w14:paraId="26F6D9CC" w14:textId="77777777">
      <w:pPr>
        <w:pStyle w:val="Normal"/>
      </w:pPr>
      <w:r w:rsidR="0FAE6588">
        <w:rPr/>
        <w:t>Two out of six studies highlight the importance of group cohesion in counsellor training and its impact on trainees' development. Martin Kivlighan et al. (2019) emphasise that group cohesion promotes interpersonal awareness and social learning, with these effects increasing over time. It suggests that trainers should focus on fostering strong group bonds to support trainee development. Similarly, Murphy and Schofield (2023) recognise the significance of group cohesion but also stress that conflict, when managed properly, can encourage growth and challenge cultural beliefs. Both studies agree that a balance between cohesion and space for conflict is essential to addressing trainees’ diverse needs. However, they also note the limitation of a lack of diversity in the backgrounds of the trainees and the varying training setups. They suggest that future research should explore how individual factors and interventions influence group dynamics, as well as the long-term effects of cohesion and conflict.</w:t>
      </w:r>
    </w:p>
    <w:p w:rsidRPr="001F69C7" w:rsidR="001F69C7" w:rsidP="68C2C0A4" w:rsidRDefault="001F69C7" w14:paraId="670E2260" w14:textId="77777777">
      <w:pPr>
        <w:pStyle w:val="Normal"/>
      </w:pPr>
      <w:r w:rsidR="0FAE6588">
        <w:rPr/>
        <w:t>The Impact of Counselling Training on Students' Interpersonal Relationships</w:t>
      </w:r>
    </w:p>
    <w:p w:rsidRPr="001F69C7" w:rsidR="001F69C7" w:rsidP="68C2C0A4" w:rsidRDefault="001F69C7" w14:paraId="2449B0B7" w14:textId="77777777">
      <w:pPr>
        <w:pStyle w:val="Normal"/>
      </w:pPr>
      <w:r w:rsidR="0FAE6588">
        <w:rPr/>
        <w:t xml:space="preserve">Personal development interventions have </w:t>
      </w:r>
      <w:r w:rsidR="0FAE6588">
        <w:rPr/>
        <w:t>a great impact</w:t>
      </w:r>
      <w:r w:rsidR="0FAE6588">
        <w:rPr/>
        <w:t xml:space="preserve"> on counsellor trainees’ interpersonal relationships</w:t>
      </w:r>
      <w:r w:rsidR="0FAE6588">
        <w:rPr/>
        <w:t xml:space="preserve">. </w:t>
      </w:r>
      <w:r w:rsidR="0FAE6588">
        <w:rPr/>
        <w:t xml:space="preserve">Primarily focused on the impact of counselling training on students' interpersonal interactions. It explored the changes in trainees' interpersonal relationships as the training progressed. Highly significant changes were noted in the relationships of the individuals, with most of them </w:t>
      </w:r>
      <w:r w:rsidR="0FAE6588">
        <w:rPr/>
        <w:t>stating</w:t>
      </w:r>
      <w:r w:rsidR="0FAE6588">
        <w:rPr/>
        <w:t xml:space="preserve"> that as self-awareness and emotional growth occurred, they noticed emotional distance and conflicts. In managing these shifts and overcoming the interpersonal challenges faced by students, personal therapy was a crucial tool throughout the training. Some found the training sessions to be an added source of support, while others found them emotionally draining. According to the study's findings, counselling programmes should better provide students with the necessary support systems to manage any relational changes that may occur during their training (Daldorph &amp; Hill, 2022).</w:t>
      </w:r>
    </w:p>
    <w:p w:rsidRPr="001F69C7" w:rsidR="001F69C7" w:rsidP="68C2C0A4" w:rsidRDefault="001F69C7" w14:paraId="3A0D2F47" w14:textId="77777777">
      <w:pPr>
        <w:pStyle w:val="Normal"/>
      </w:pPr>
      <w:r w:rsidR="0FAE6588">
        <w:rPr/>
        <w:t>Challenges and Learning in Personal Development Groups for Counsellor Training</w:t>
      </w:r>
    </w:p>
    <w:p w:rsidRPr="001F69C7" w:rsidR="001F69C7" w:rsidP="68C2C0A4" w:rsidRDefault="001F69C7" w14:paraId="26DB859F" w14:textId="5A1FB8F1">
      <w:pPr>
        <w:pStyle w:val="Normal"/>
      </w:pPr>
      <w:r w:rsidR="0FAE6588">
        <w:rPr/>
        <w:t xml:space="preserve">The significant need for personal development groups in counsellor training. It also acknowledges that trainees often face difficult and challenging experiences during these groups. Most trainees </w:t>
      </w:r>
      <w:r w:rsidR="0FAE6588">
        <w:rPr/>
        <w:t>encountered</w:t>
      </w:r>
      <w:r w:rsidR="0FAE6588">
        <w:rPr/>
        <w:t xml:space="preserve"> difficulties, felt unsupported, and experienced trauma during the PD groups. However, many found these experiences extremely helpful and productive for their learning. It is considered beneficial for trainees to be briefed and made aware of the potential challenges they may face before the PD group activity begins. Additionally, trainers should receive proper training to address the issues that may arise during PD groups or on ethical grounds. This research could not gather data from all trainees, as some had already left due to the difficulties they faced. Future research should focus on how the results change when trainers provide adequate support and how group dynamics evolve (Smith &amp; Burr, 2021).</w:t>
      </w:r>
      <w:r>
        <w:br/>
      </w:r>
    </w:p>
    <w:p w:rsidRPr="009E2D55" w:rsidR="00EE776A" w:rsidP="68C2C0A4" w:rsidRDefault="001F69C7" w14:paraId="681874C2" w14:textId="14B0BF4B">
      <w:pPr>
        <w:pStyle w:val="Normal"/>
        <w:rPr>
          <w:lang w:val="en-US"/>
        </w:rPr>
      </w:pPr>
      <w:r w:rsidR="0FAE6588">
        <w:rPr/>
        <w:t> </w:t>
      </w:r>
      <w:r w:rsidRPr="68C2C0A4" w:rsidR="0FAE6588">
        <w:rPr>
          <w:lang w:val="en-US"/>
        </w:rPr>
        <w:t>DISCUSSION AND CONCLUSION</w:t>
      </w:r>
    </w:p>
    <w:p w:rsidRPr="001F69C7" w:rsidR="001F69C7" w:rsidP="68C2C0A4" w:rsidRDefault="001F69C7" w14:paraId="2ECE22BF" w14:textId="77777777">
      <w:pPr>
        <w:pStyle w:val="Normal"/>
      </w:pPr>
      <w:r w:rsidRPr="68C2C0A4" w:rsidR="0FAE6588">
        <w:rPr>
          <w:lang w:val="en-US"/>
        </w:rPr>
        <w:t xml:space="preserve">This literature review aimed to explore how trainee counsellors engage in their personal development. The findings suggest that experiential learning techniques, such as cultural immersion (CI) and personal development (PD) groups, are essential in fostering cultural understanding, self-awareness, and the interactive abilities needed for effective counselling practice. Personal development is considered a crucial </w:t>
      </w:r>
      <w:r w:rsidRPr="68C2C0A4" w:rsidR="0FAE6588">
        <w:rPr>
          <w:lang w:val="en-US"/>
        </w:rPr>
        <w:t>component</w:t>
      </w:r>
      <w:r w:rsidRPr="68C2C0A4" w:rsidR="0FAE6588">
        <w:rPr>
          <w:lang w:val="en-US"/>
        </w:rPr>
        <w:t xml:space="preserve"> of counselling training, helping trainees </w:t>
      </w:r>
      <w:r w:rsidRPr="68C2C0A4" w:rsidR="0FAE6588">
        <w:rPr>
          <w:lang w:val="en-US"/>
        </w:rPr>
        <w:t>analyse</w:t>
      </w:r>
      <w:r w:rsidRPr="68C2C0A4" w:rsidR="0FAE6588">
        <w:rPr>
          <w:lang w:val="en-US"/>
        </w:rPr>
        <w:t xml:space="preserve"> their </w:t>
      </w:r>
      <w:r w:rsidRPr="68C2C0A4" w:rsidR="0FAE6588">
        <w:rPr>
          <w:lang w:val="en-US"/>
        </w:rPr>
        <w:t>behaviours</w:t>
      </w:r>
      <w:r w:rsidRPr="68C2C0A4" w:rsidR="0FAE6588">
        <w:rPr>
          <w:lang w:val="en-US"/>
        </w:rPr>
        <w:t xml:space="preserve"> , emotions, and attitudes (Murphy &amp; Schofield, 2023). However, trainees may face challenges related to emotions during personal development groups, such as feeling discomfort when sharing personal issues, which could hinder professional growth. Additionally, unresolved issues may influence therapeutic practice (Smith &amp; Burr, 2021).</w:t>
      </w:r>
    </w:p>
    <w:p w:rsidRPr="001F69C7" w:rsidR="001F69C7" w:rsidP="68C2C0A4" w:rsidRDefault="001F69C7" w14:paraId="3517D0C1" w14:textId="77777777">
      <w:pPr>
        <w:pStyle w:val="Normal"/>
      </w:pPr>
      <w:r w:rsidRPr="68C2C0A4" w:rsidR="0FAE6588">
        <w:rPr>
          <w:lang w:val="en-US"/>
        </w:rPr>
        <w:t xml:space="preserve">Murphy </w:t>
      </w:r>
      <w:r w:rsidRPr="68C2C0A4" w:rsidR="0FAE6588">
        <w:rPr>
          <w:lang w:val="en-US"/>
        </w:rPr>
        <w:t>&amp; Schofield</w:t>
      </w:r>
      <w:r w:rsidRPr="68C2C0A4" w:rsidR="0FAE6588">
        <w:rPr>
          <w:lang w:val="en-US"/>
        </w:rPr>
        <w:t xml:space="preserve"> (2023) highlighted that cultural immersion plays a vital role in fostering intercultural development and emotional empathy. Moreover, cultural immersion enhances trainees' competency in cross-cultural interactions and their ability to engage with clients from diverse backgrounds. Group cohesion also plays a significant role in linking cultural immersion and personal development effectiveness. A supportive environment, learning through observation, and mutual awareness are all supported by positive group cohesion, which is essential for both personal development and professional growth (Kivlighan et al., 2019).</w:t>
      </w:r>
    </w:p>
    <w:p w:rsidRPr="001F69C7" w:rsidR="001F69C7" w:rsidP="68C2C0A4" w:rsidRDefault="001F69C7" w14:paraId="6DB05C65" w14:textId="77777777">
      <w:pPr>
        <w:pStyle w:val="Normal"/>
      </w:pPr>
      <w:r w:rsidRPr="68C2C0A4" w:rsidR="0FAE6588">
        <w:rPr>
          <w:lang w:val="en-US"/>
        </w:rPr>
        <w:t xml:space="preserve">Despite the benefits, training </w:t>
      </w:r>
      <w:r w:rsidRPr="68C2C0A4" w:rsidR="0FAE6588">
        <w:rPr>
          <w:lang w:val="en-US"/>
        </w:rPr>
        <w:t>programmes</w:t>
      </w:r>
      <w:r w:rsidRPr="68C2C0A4" w:rsidR="0FAE6588">
        <w:rPr>
          <w:lang w:val="en-US"/>
        </w:rPr>
        <w:t xml:space="preserve"> often face challenges due to a lack of consistency in </w:t>
      </w:r>
      <w:r w:rsidRPr="68C2C0A4" w:rsidR="0FAE6588">
        <w:rPr>
          <w:lang w:val="en-US"/>
        </w:rPr>
        <w:t>methodology</w:t>
      </w:r>
      <w:r w:rsidRPr="68C2C0A4" w:rsidR="0FAE6588">
        <w:rPr>
          <w:lang w:val="en-US"/>
        </w:rPr>
        <w:t xml:space="preserve"> and structure, leading to varying outcomes in trainees' experiences (Murphy &amp; Schofield, 2023). Furthermore, unresolved issues within personal development groups and discomfort with emotions can impede the development of a strong therapeutic identity (Smith &amp; Burr, 2021). To address these challenges, future research should focus on developing training techniques, examining the long-term effects of personal development and cultural immersion methods, and investigating frameworks for integrative models (</w:t>
      </w:r>
      <w:r w:rsidRPr="68C2C0A4" w:rsidR="0FAE6588">
        <w:rPr>
          <w:lang w:val="en-US"/>
        </w:rPr>
        <w:t>e.g.</w:t>
      </w:r>
      <w:r w:rsidRPr="68C2C0A4" w:rsidR="0FAE6588">
        <w:rPr>
          <w:lang w:val="en-US"/>
        </w:rPr>
        <w:t xml:space="preserve"> biopsychosocial-spiritual and culturally responsive approaches) to support a range of trainee characteristics.</w:t>
      </w:r>
    </w:p>
    <w:p w:rsidRPr="001F69C7" w:rsidR="001F69C7" w:rsidP="68C2C0A4" w:rsidRDefault="001F69C7" w14:paraId="21D57831" w14:textId="77777777">
      <w:pPr>
        <w:pStyle w:val="Normal"/>
      </w:pPr>
      <w:r w:rsidRPr="68C2C0A4" w:rsidR="0FAE6588">
        <w:rPr>
          <w:lang w:val="en-US"/>
        </w:rPr>
        <w:t xml:space="preserve">In conclusion, the studies reviewed the importance and value of personal development and experiential learning in counsellor training. </w:t>
      </w:r>
      <w:r w:rsidR="0FAE6588">
        <w:rPr/>
        <w:t>These approaches contribute to emotional growth, interpersonal skills, and self-awareness. Moreover, challenges such as unresolved issues and emotional discomfort can be mitigated by fostering a supportive and structured training environment. The effectiveness of personal development can be enhanced by promoting cultural empathy and group cohesion through cultural immersion. Bridging the gap in religious and spiritual training will better equip counsellors to meet the diverse needs of their clients.</w:t>
      </w:r>
    </w:p>
    <w:p w:rsidRPr="009E2D55" w:rsidR="001F69C7" w:rsidP="68C2C0A4" w:rsidRDefault="001F69C7" w14:paraId="245A9BED" w14:textId="77777777">
      <w:pPr>
        <w:pStyle w:val="Normal"/>
      </w:pPr>
    </w:p>
    <w:p w:rsidR="00884DA8" w:rsidP="68C2C0A4" w:rsidRDefault="00884DA8" w14:paraId="5BD5013B" w14:textId="77777777">
      <w:pPr>
        <w:pStyle w:val="Normal"/>
      </w:pPr>
    </w:p>
    <w:p w:rsidR="009E2D55" w:rsidP="68C2C0A4" w:rsidRDefault="009E2D55" w14:paraId="233C0743" w14:textId="77777777">
      <w:pPr>
        <w:pStyle w:val="Normal"/>
      </w:pPr>
    </w:p>
    <w:p w:rsidR="009E2D55" w:rsidP="68C2C0A4" w:rsidRDefault="009E2D55" w14:paraId="091C50D5" w14:textId="77777777">
      <w:pPr>
        <w:pStyle w:val="Normal"/>
      </w:pPr>
    </w:p>
    <w:p w:rsidR="009E2D55" w:rsidP="68C2C0A4" w:rsidRDefault="009E2D55" w14:paraId="56B4C9A7" w14:textId="77777777">
      <w:pPr>
        <w:pStyle w:val="Normal"/>
      </w:pPr>
    </w:p>
    <w:p w:rsidR="009E2D55" w:rsidP="68C2C0A4" w:rsidRDefault="009E2D55" w14:paraId="1E19F421" w14:textId="77777777">
      <w:pPr>
        <w:pStyle w:val="Normal"/>
      </w:pPr>
    </w:p>
    <w:p w:rsidR="009E2D55" w:rsidP="68C2C0A4" w:rsidRDefault="009E2D55" w14:paraId="68395880" w14:textId="77777777">
      <w:pPr>
        <w:pStyle w:val="Normal"/>
      </w:pPr>
    </w:p>
    <w:p w:rsidR="009E2D55" w:rsidP="68C2C0A4" w:rsidRDefault="009E2D55" w14:paraId="0EF2A158" w14:textId="77777777">
      <w:pPr>
        <w:pStyle w:val="Normal"/>
      </w:pPr>
    </w:p>
    <w:p w:rsidR="009E2D55" w:rsidP="68C2C0A4" w:rsidRDefault="009E2D55" w14:paraId="46CB9023" w14:textId="77777777">
      <w:pPr>
        <w:pStyle w:val="Normal"/>
      </w:pPr>
    </w:p>
    <w:p w:rsidRPr="009E2D55" w:rsidR="009E2D55" w:rsidP="68C2C0A4" w:rsidRDefault="009E2D55" w14:paraId="72543FA1" w14:textId="77777777">
      <w:pPr>
        <w:pStyle w:val="Normal"/>
      </w:pPr>
    </w:p>
    <w:p w:rsidRPr="00884DA8" w:rsidR="00884DA8" w:rsidP="68C2C0A4" w:rsidRDefault="00884DA8" w14:paraId="3BE711ED" w14:textId="77777777">
      <w:pPr>
        <w:pStyle w:val="Normal"/>
      </w:pPr>
      <w:r w:rsidRPr="68C2C0A4" w:rsidR="665820AF">
        <w:rPr>
          <w:lang w:val="en-US"/>
        </w:rPr>
        <w:t>References</w:t>
      </w:r>
    </w:p>
    <w:p w:rsidRPr="00884DA8" w:rsidR="00884DA8" w:rsidP="68C2C0A4" w:rsidRDefault="00884DA8" w14:paraId="1FBAABB9" w14:textId="77777777">
      <w:pPr>
        <w:pStyle w:val="Normal"/>
      </w:pPr>
      <w:r w:rsidR="665820AF">
        <w:rPr/>
        <w:t>Cooper, M. (2005). Therapists’ experiences of relational depth: A qualitative interview study. </w:t>
      </w:r>
      <w:r w:rsidR="665820AF">
        <w:rPr/>
        <w:t>Counselling and Psychotherapy Research</w:t>
      </w:r>
      <w:r w:rsidR="665820AF">
        <w:rPr/>
        <w:t>, </w:t>
      </w:r>
      <w:r w:rsidR="665820AF">
        <w:rPr/>
        <w:t>5</w:t>
      </w:r>
      <w:r w:rsidR="665820AF">
        <w:rPr/>
        <w:t>(2), 87-95. </w:t>
      </w:r>
      <w:hyperlink r:id="R7bd239b7c06f47a4">
        <w:r w:rsidRPr="68C2C0A4" w:rsidR="665820AF">
          <w:rPr>
            <w:rStyle w:val="Hyperlink"/>
          </w:rPr>
          <w:t>https://doi.org/10.1080/17441690500211130</w:t>
        </w:r>
      </w:hyperlink>
    </w:p>
    <w:p w:rsidRPr="00884DA8" w:rsidR="00884DA8" w:rsidP="68C2C0A4" w:rsidRDefault="00884DA8" w14:paraId="575A91E7" w14:textId="77777777">
      <w:pPr>
        <w:pStyle w:val="Normal"/>
      </w:pPr>
      <w:r w:rsidR="665820AF">
        <w:rPr/>
        <w:t>Daldorph, A., &amp; Hill, S. (2022). The perceived impact of counselling training on students' personal relationships. </w:t>
      </w:r>
      <w:r w:rsidR="665820AF">
        <w:rPr/>
        <w:t>Counselling and Psychotherapy Research</w:t>
      </w:r>
      <w:r w:rsidR="665820AF">
        <w:rPr/>
        <w:t>, </w:t>
      </w:r>
      <w:r w:rsidR="665820AF">
        <w:rPr/>
        <w:t>24</w:t>
      </w:r>
      <w:r w:rsidR="665820AF">
        <w:rPr/>
        <w:t>(1), 63-74. </w:t>
      </w:r>
      <w:hyperlink r:id="R40f612cea475442b">
        <w:r w:rsidRPr="68C2C0A4" w:rsidR="665820AF">
          <w:rPr>
            <w:rStyle w:val="Hyperlink"/>
          </w:rPr>
          <w:t>https://doi.org/10.1002/capr.12587</w:t>
        </w:r>
      </w:hyperlink>
    </w:p>
    <w:p w:rsidRPr="00884DA8" w:rsidR="00884DA8" w:rsidP="68C2C0A4" w:rsidRDefault="00884DA8" w14:paraId="489C1F83" w14:textId="77777777">
      <w:pPr>
        <w:pStyle w:val="Normal"/>
      </w:pPr>
      <w:r w:rsidR="665820AF">
        <w:rPr/>
        <w:t xml:space="preserve">Edwards, J. (2018). </w:t>
      </w:r>
      <w:r w:rsidR="665820AF">
        <w:rPr/>
        <w:t>Counseling</w:t>
      </w:r>
      <w:r w:rsidR="665820AF">
        <w:rPr/>
        <w:t xml:space="preserve"> and psychology student experiences of personal therapy: A critical interpretive synthesis. </w:t>
      </w:r>
      <w:r w:rsidR="665820AF">
        <w:rPr/>
        <w:t>Frontiers in Psychology</w:t>
      </w:r>
      <w:r w:rsidR="665820AF">
        <w:rPr/>
        <w:t>, </w:t>
      </w:r>
      <w:r w:rsidR="665820AF">
        <w:rPr/>
        <w:t>9</w:t>
      </w:r>
      <w:r w:rsidR="665820AF">
        <w:rPr/>
        <w:t>. </w:t>
      </w:r>
      <w:hyperlink r:id="R2a9d28584d0141ee">
        <w:r w:rsidRPr="68C2C0A4" w:rsidR="665820AF">
          <w:rPr>
            <w:rStyle w:val="Hyperlink"/>
          </w:rPr>
          <w:t>https://doi.org/10.3389/fpsyg.2018.01732</w:t>
        </w:r>
      </w:hyperlink>
    </w:p>
    <w:p w:rsidRPr="00884DA8" w:rsidR="00884DA8" w:rsidP="68C2C0A4" w:rsidRDefault="00884DA8" w14:paraId="2871C134" w14:textId="77777777">
      <w:pPr>
        <w:pStyle w:val="Normal"/>
      </w:pPr>
      <w:r w:rsidR="665820AF">
        <w:rPr/>
        <w:t>Hunt, J. (2024). Religion and spirituality in therapeutic training in the &lt;</w:t>
      </w:r>
      <w:r w:rsidR="665820AF">
        <w:rPr/>
        <w:t>scp</w:t>
      </w:r>
      <w:r w:rsidR="665820AF">
        <w:rPr/>
        <w:t>&gt;UK&lt;/</w:t>
      </w:r>
      <w:r w:rsidR="665820AF">
        <w:rPr/>
        <w:t>scp</w:t>
      </w:r>
      <w:r w:rsidR="665820AF">
        <w:rPr/>
        <w:t>&gt;: A survey of current and recent trainees. </w:t>
      </w:r>
      <w:r w:rsidR="665820AF">
        <w:rPr/>
        <w:t>Counselling and Psychotherapy Research</w:t>
      </w:r>
      <w:r w:rsidR="665820AF">
        <w:rPr/>
        <w:t>, </w:t>
      </w:r>
      <w:r w:rsidR="665820AF">
        <w:rPr/>
        <w:t>24</w:t>
      </w:r>
      <w:r w:rsidR="665820AF">
        <w:rPr/>
        <w:t>(4), 1600-1611. </w:t>
      </w:r>
      <w:hyperlink r:id="Red716e1374014c69">
        <w:r w:rsidRPr="68C2C0A4" w:rsidR="665820AF">
          <w:rPr>
            <w:rStyle w:val="Hyperlink"/>
          </w:rPr>
          <w:t>https://doi.org/10.1002/capr.12807</w:t>
        </w:r>
      </w:hyperlink>
    </w:p>
    <w:p w:rsidRPr="00884DA8" w:rsidR="00884DA8" w:rsidP="68C2C0A4" w:rsidRDefault="00884DA8" w14:paraId="2F0DAED9" w14:textId="77777777">
      <w:pPr>
        <w:pStyle w:val="Normal"/>
      </w:pPr>
      <w:r w:rsidR="665820AF">
        <w:rPr/>
        <w:t>Knight, K., Sperlinger, D., &amp; Maltby, M. (2010). Exploring the personal and professional impact of reflective practice groups: A survey of 18 cohorts from a UK clinical psychology training course. </w:t>
      </w:r>
      <w:r w:rsidR="665820AF">
        <w:rPr/>
        <w:t>Clinical Psychology &amp; Psychotherapy</w:t>
      </w:r>
      <w:r w:rsidR="665820AF">
        <w:rPr/>
        <w:t>, </w:t>
      </w:r>
      <w:r w:rsidR="665820AF">
        <w:rPr/>
        <w:t>17</w:t>
      </w:r>
      <w:r w:rsidR="665820AF">
        <w:rPr/>
        <w:t>(5), 427-437. </w:t>
      </w:r>
      <w:hyperlink r:id="R026200614bb54b69">
        <w:r w:rsidRPr="68C2C0A4" w:rsidR="665820AF">
          <w:rPr>
            <w:rStyle w:val="Hyperlink"/>
          </w:rPr>
          <w:t>https://doi.org/10.1002/cpp.660</w:t>
        </w:r>
      </w:hyperlink>
    </w:p>
    <w:p w:rsidRPr="00884DA8" w:rsidR="00884DA8" w:rsidP="68C2C0A4" w:rsidRDefault="00884DA8" w14:paraId="3AF99532" w14:textId="77777777">
      <w:pPr>
        <w:pStyle w:val="Normal"/>
      </w:pPr>
      <w:r w:rsidR="665820AF">
        <w:rPr/>
        <w:t xml:space="preserve">Kuo, B. C., Hussein, N., Makhzoum, N., </w:t>
      </w:r>
      <w:r w:rsidR="665820AF">
        <w:rPr/>
        <w:t>Sabhnani</w:t>
      </w:r>
      <w:r w:rsidR="665820AF">
        <w:rPr/>
        <w:t xml:space="preserve">, P., &amp; </w:t>
      </w:r>
      <w:r w:rsidR="665820AF">
        <w:rPr/>
        <w:t>Zvric</w:t>
      </w:r>
      <w:r w:rsidR="665820AF">
        <w:rPr/>
        <w:t xml:space="preserve">, M. (2023). Evaluating the effects of cultural immersion on </w:t>
      </w:r>
      <w:r w:rsidR="665820AF">
        <w:rPr/>
        <w:t>counselor</w:t>
      </w:r>
      <w:r w:rsidR="665820AF">
        <w:rPr/>
        <w:t xml:space="preserve"> trainees' multicultural development and intercultural competence: A </w:t>
      </w:r>
      <w:r w:rsidR="665820AF">
        <w:rPr/>
        <w:t>metasynthesis</w:t>
      </w:r>
      <w:r w:rsidR="665820AF">
        <w:rPr/>
        <w:t xml:space="preserve"> of qualitative evidence. </w:t>
      </w:r>
      <w:r w:rsidR="665820AF">
        <w:rPr/>
        <w:t>International Journal of Intercultural Relations</w:t>
      </w:r>
      <w:r w:rsidR="665820AF">
        <w:rPr/>
        <w:t>, </w:t>
      </w:r>
      <w:r w:rsidR="665820AF">
        <w:rPr/>
        <w:t>94</w:t>
      </w:r>
      <w:r w:rsidR="665820AF">
        <w:rPr/>
        <w:t>, 101798. </w:t>
      </w:r>
      <w:hyperlink r:id="Re9edbfff0c774ab9">
        <w:r w:rsidRPr="68C2C0A4" w:rsidR="665820AF">
          <w:rPr>
            <w:rStyle w:val="Hyperlink"/>
          </w:rPr>
          <w:t>https://doi.org/10.1016/j.ijintrel.2023.101798</w:t>
        </w:r>
      </w:hyperlink>
    </w:p>
    <w:p w:rsidRPr="00884DA8" w:rsidR="00884DA8" w:rsidP="68C2C0A4" w:rsidRDefault="00884DA8" w14:paraId="13DD7B41" w14:textId="77777777">
      <w:pPr>
        <w:pStyle w:val="Normal"/>
      </w:pPr>
      <w:r w:rsidR="665820AF">
        <w:rPr/>
        <w:t>Martin Kivlighan, D., Adams, M. C., Obrecht, A., Kim, J. Y., Ward, B., &amp; Latino, C. A. (2019). Group therapy trainees’ social learning and interpersonal awareness: The role of cohesion in training groups. </w:t>
      </w:r>
      <w:r w:rsidR="665820AF">
        <w:rPr/>
        <w:t>The Journal for Specialists in Group Work</w:t>
      </w:r>
      <w:r w:rsidR="665820AF">
        <w:rPr/>
        <w:t>, </w:t>
      </w:r>
      <w:r w:rsidR="665820AF">
        <w:rPr/>
        <w:t>44</w:t>
      </w:r>
      <w:r w:rsidR="665820AF">
        <w:rPr/>
        <w:t>(1), 62-76. </w:t>
      </w:r>
      <w:hyperlink r:id="Rf0d31b7e0dc6402e">
        <w:r w:rsidRPr="68C2C0A4" w:rsidR="665820AF">
          <w:rPr>
            <w:rStyle w:val="Hyperlink"/>
          </w:rPr>
          <w:t>https://doi.org/10.1080/01933922.2018.1561777</w:t>
        </w:r>
      </w:hyperlink>
    </w:p>
    <w:p w:rsidRPr="00884DA8" w:rsidR="00884DA8" w:rsidP="68C2C0A4" w:rsidRDefault="00884DA8" w14:paraId="32CE2928" w14:textId="77777777">
      <w:pPr>
        <w:pStyle w:val="Normal"/>
      </w:pPr>
      <w:r w:rsidR="665820AF">
        <w:rPr/>
        <w:t xml:space="preserve">McMahon, A., &amp; Rodillas, R. R. (2018). Personal development groups during psychotherapy training: Irish students’ expectations and experiences of vulnerability, </w:t>
      </w:r>
      <w:r w:rsidR="665820AF">
        <w:rPr/>
        <w:t>safety</w:t>
      </w:r>
      <w:r w:rsidR="665820AF">
        <w:rPr/>
        <w:t xml:space="preserve"> and growth. </w:t>
      </w:r>
      <w:r w:rsidR="665820AF">
        <w:rPr/>
        <w:t>Counselling Psychology Quarterly</w:t>
      </w:r>
      <w:r w:rsidR="665820AF">
        <w:rPr/>
        <w:t>, </w:t>
      </w:r>
      <w:r w:rsidR="665820AF">
        <w:rPr/>
        <w:t>33</w:t>
      </w:r>
      <w:r w:rsidR="665820AF">
        <w:rPr/>
        <w:t>(2), 163-186. </w:t>
      </w:r>
      <w:hyperlink r:id="Rb6211014600a4de9">
        <w:r w:rsidRPr="68C2C0A4" w:rsidR="665820AF">
          <w:rPr>
            <w:rStyle w:val="Hyperlink"/>
          </w:rPr>
          <w:t>https://doi.org/10.1080/09515070.2018.1502159</w:t>
        </w:r>
      </w:hyperlink>
    </w:p>
    <w:p w:rsidRPr="00884DA8" w:rsidR="00884DA8" w:rsidP="68C2C0A4" w:rsidRDefault="00884DA8" w14:paraId="2A0DB461" w14:textId="77777777">
      <w:pPr>
        <w:pStyle w:val="Normal"/>
      </w:pPr>
      <w:r w:rsidR="665820AF">
        <w:rPr/>
        <w:t xml:space="preserve">Moller, N. P., &amp; Rance, N. (2013). The good, the bad and the uncertainty: Trainees' </w:t>
      </w:r>
      <w:r w:rsidR="665820AF">
        <w:rPr/>
        <w:t>perceptions</w:t>
      </w:r>
      <w:r w:rsidR="665820AF">
        <w:rPr/>
        <w:t xml:space="preserve"> of the personal development group. </w:t>
      </w:r>
      <w:r w:rsidR="665820AF">
        <w:rPr/>
        <w:t>Counselling and Psychotherapy Research</w:t>
      </w:r>
      <w:r w:rsidR="665820AF">
        <w:rPr/>
        <w:t>, </w:t>
      </w:r>
      <w:r w:rsidR="665820AF">
        <w:rPr/>
        <w:t>13</w:t>
      </w:r>
      <w:r w:rsidR="665820AF">
        <w:rPr/>
        <w:t>(4), 282-289. </w:t>
      </w:r>
      <w:hyperlink r:id="Rd81bd07f5b294a2c">
        <w:r w:rsidRPr="68C2C0A4" w:rsidR="665820AF">
          <w:rPr>
            <w:rStyle w:val="Hyperlink"/>
          </w:rPr>
          <w:t>https://doi.org/10.1080/14733145.2012.754482</w:t>
        </w:r>
      </w:hyperlink>
    </w:p>
    <w:p w:rsidRPr="00884DA8" w:rsidR="00884DA8" w:rsidP="68C2C0A4" w:rsidRDefault="00884DA8" w14:paraId="6ACDC6B3" w14:textId="77777777">
      <w:pPr>
        <w:pStyle w:val="Normal"/>
      </w:pPr>
      <w:r w:rsidR="665820AF">
        <w:rPr/>
        <w:t>Murphy, R., &amp; Schofield, M. (2023). How do counselling trainees describe group process and does this change over time? </w:t>
      </w:r>
      <w:r w:rsidR="665820AF">
        <w:rPr/>
        <w:t>Counselling and Psychotherapy Research</w:t>
      </w:r>
      <w:r w:rsidR="665820AF">
        <w:rPr/>
        <w:t>, </w:t>
      </w:r>
      <w:r w:rsidR="665820AF">
        <w:rPr/>
        <w:t>24</w:t>
      </w:r>
      <w:r w:rsidR="665820AF">
        <w:rPr/>
        <w:t>(1), 219-229. </w:t>
      </w:r>
      <w:hyperlink r:id="R99ba9d73fa82441e">
        <w:r w:rsidRPr="68C2C0A4" w:rsidR="665820AF">
          <w:rPr>
            <w:rStyle w:val="Hyperlink"/>
          </w:rPr>
          <w:t>https://doi.org/10.1002/capr.12633</w:t>
        </w:r>
      </w:hyperlink>
    </w:p>
    <w:p w:rsidRPr="00884DA8" w:rsidR="00884DA8" w:rsidP="68C2C0A4" w:rsidRDefault="00884DA8" w14:paraId="734CBC95" w14:textId="77777777">
      <w:pPr>
        <w:pStyle w:val="Normal"/>
      </w:pPr>
      <w:r w:rsidR="665820AF">
        <w:rPr/>
        <w:t xml:space="preserve">Rønnestad, M. H., &amp; Skovholt, T. M. (2003). The journey of the </w:t>
      </w:r>
      <w:r w:rsidR="665820AF">
        <w:rPr/>
        <w:t>counselor</w:t>
      </w:r>
      <w:r w:rsidR="665820AF">
        <w:rPr/>
        <w:t xml:space="preserve"> and therapist: Research findings and perspectives on professional development. </w:t>
      </w:r>
      <w:r w:rsidR="665820AF">
        <w:rPr/>
        <w:t>Journal of Career Development</w:t>
      </w:r>
      <w:r w:rsidR="665820AF">
        <w:rPr/>
        <w:t>, </w:t>
      </w:r>
      <w:r w:rsidR="665820AF">
        <w:rPr/>
        <w:t>30</w:t>
      </w:r>
      <w:r w:rsidR="665820AF">
        <w:rPr/>
        <w:t>(1), 5-44. </w:t>
      </w:r>
      <w:hyperlink r:id="R25b16d48db914977">
        <w:r w:rsidRPr="68C2C0A4" w:rsidR="665820AF">
          <w:rPr>
            <w:rStyle w:val="Hyperlink"/>
          </w:rPr>
          <w:t>https://doi.org/10.1177/089484530303000102</w:t>
        </w:r>
      </w:hyperlink>
    </w:p>
    <w:p w:rsidRPr="00884DA8" w:rsidR="00884DA8" w:rsidP="68C2C0A4" w:rsidRDefault="00884DA8" w14:paraId="61EB8E32" w14:textId="77777777">
      <w:pPr>
        <w:pStyle w:val="Normal"/>
      </w:pPr>
      <w:r w:rsidR="665820AF">
        <w:rPr/>
        <w:t>Smith, C., &amp; Burr, V. (2021). Retrospective accounts of emotional experiences during personal development groups in qualified counsellors and psychotherapists. </w:t>
      </w:r>
      <w:r w:rsidR="665820AF">
        <w:rPr/>
        <w:t>Counselling and Psychotherapy Research</w:t>
      </w:r>
      <w:r w:rsidR="665820AF">
        <w:rPr/>
        <w:t>, </w:t>
      </w:r>
      <w:r w:rsidR="665820AF">
        <w:rPr/>
        <w:t>22</w:t>
      </w:r>
      <w:r w:rsidR="665820AF">
        <w:rPr/>
        <w:t>(1), 238-249. </w:t>
      </w:r>
      <w:hyperlink r:id="Rc7ddc763fe6c4471">
        <w:r w:rsidRPr="68C2C0A4" w:rsidR="665820AF">
          <w:rPr>
            <w:rStyle w:val="Hyperlink"/>
          </w:rPr>
          <w:t>https://doi.org/10.1002/capr.12419</w:t>
        </w:r>
      </w:hyperlink>
    </w:p>
    <w:p w:rsidRPr="00884DA8" w:rsidR="00884DA8" w:rsidP="68C2C0A4" w:rsidRDefault="00884DA8" w14:paraId="24BB0DED" w14:textId="77777777">
      <w:pPr>
        <w:pStyle w:val="Normal"/>
      </w:pPr>
      <w:r w:rsidR="665820AF">
        <w:rPr/>
        <w:t> </w:t>
      </w:r>
    </w:p>
    <w:p w:rsidRPr="00884DA8" w:rsidR="00884DA8" w:rsidP="68C2C0A4" w:rsidRDefault="00884DA8" w14:paraId="3711F6F1" w14:textId="77777777">
      <w:pPr>
        <w:pStyle w:val="Normal"/>
      </w:pPr>
      <w:r w:rsidR="665820AF">
        <w:rPr/>
        <w:t> </w:t>
      </w:r>
    </w:p>
    <w:p w:rsidRPr="009E2D55" w:rsidR="00884DA8" w:rsidP="68C2C0A4" w:rsidRDefault="00884DA8" w14:paraId="4932F752" w14:textId="473B5E15">
      <w:pPr>
        <w:pStyle w:val="Normal"/>
      </w:pPr>
      <w:r w:rsidR="665820AF">
        <w:rPr/>
        <w:t> </w:t>
      </w:r>
    </w:p>
    <w:sectPr w:rsidRPr="009E2D55" w:rsidR="00884DA8" w:rsidSect="00955067">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0F1"/>
    <w:multiLevelType w:val="hybridMultilevel"/>
    <w:tmpl w:val="8D90532A"/>
    <w:lvl w:ilvl="0" w:tplc="CB52B4B8">
      <w:start w:val="1"/>
      <w:numFmt w:val="bullet"/>
      <w:lvlText w:val=""/>
      <w:lvlJc w:val="left"/>
      <w:pPr>
        <w:tabs>
          <w:tab w:val="num" w:pos="720"/>
        </w:tabs>
        <w:ind w:left="720" w:hanging="360"/>
      </w:pPr>
      <w:rPr>
        <w:rFonts w:hint="default" w:ascii="Symbol" w:hAnsi="Symbol"/>
      </w:rPr>
    </w:lvl>
    <w:lvl w:ilvl="1" w:tplc="671C00C4" w:tentative="1">
      <w:start w:val="1"/>
      <w:numFmt w:val="bullet"/>
      <w:lvlText w:val=""/>
      <w:lvlJc w:val="left"/>
      <w:pPr>
        <w:tabs>
          <w:tab w:val="num" w:pos="1440"/>
        </w:tabs>
        <w:ind w:left="1440" w:hanging="360"/>
      </w:pPr>
      <w:rPr>
        <w:rFonts w:hint="default" w:ascii="Symbol" w:hAnsi="Symbol"/>
      </w:rPr>
    </w:lvl>
    <w:lvl w:ilvl="2" w:tplc="DC9838FC" w:tentative="1">
      <w:start w:val="1"/>
      <w:numFmt w:val="bullet"/>
      <w:lvlText w:val=""/>
      <w:lvlJc w:val="left"/>
      <w:pPr>
        <w:tabs>
          <w:tab w:val="num" w:pos="2160"/>
        </w:tabs>
        <w:ind w:left="2160" w:hanging="360"/>
      </w:pPr>
      <w:rPr>
        <w:rFonts w:hint="default" w:ascii="Symbol" w:hAnsi="Symbol"/>
      </w:rPr>
    </w:lvl>
    <w:lvl w:ilvl="3" w:tplc="63F299E4" w:tentative="1">
      <w:start w:val="1"/>
      <w:numFmt w:val="bullet"/>
      <w:lvlText w:val=""/>
      <w:lvlJc w:val="left"/>
      <w:pPr>
        <w:tabs>
          <w:tab w:val="num" w:pos="2880"/>
        </w:tabs>
        <w:ind w:left="2880" w:hanging="360"/>
      </w:pPr>
      <w:rPr>
        <w:rFonts w:hint="default" w:ascii="Symbol" w:hAnsi="Symbol"/>
      </w:rPr>
    </w:lvl>
    <w:lvl w:ilvl="4" w:tplc="62466BB0" w:tentative="1">
      <w:start w:val="1"/>
      <w:numFmt w:val="bullet"/>
      <w:lvlText w:val=""/>
      <w:lvlJc w:val="left"/>
      <w:pPr>
        <w:tabs>
          <w:tab w:val="num" w:pos="3600"/>
        </w:tabs>
        <w:ind w:left="3600" w:hanging="360"/>
      </w:pPr>
      <w:rPr>
        <w:rFonts w:hint="default" w:ascii="Symbol" w:hAnsi="Symbol"/>
      </w:rPr>
    </w:lvl>
    <w:lvl w:ilvl="5" w:tplc="A1A477F8" w:tentative="1">
      <w:start w:val="1"/>
      <w:numFmt w:val="bullet"/>
      <w:lvlText w:val=""/>
      <w:lvlJc w:val="left"/>
      <w:pPr>
        <w:tabs>
          <w:tab w:val="num" w:pos="4320"/>
        </w:tabs>
        <w:ind w:left="4320" w:hanging="360"/>
      </w:pPr>
      <w:rPr>
        <w:rFonts w:hint="default" w:ascii="Symbol" w:hAnsi="Symbol"/>
      </w:rPr>
    </w:lvl>
    <w:lvl w:ilvl="6" w:tplc="FEAC9E4E" w:tentative="1">
      <w:start w:val="1"/>
      <w:numFmt w:val="bullet"/>
      <w:lvlText w:val=""/>
      <w:lvlJc w:val="left"/>
      <w:pPr>
        <w:tabs>
          <w:tab w:val="num" w:pos="5040"/>
        </w:tabs>
        <w:ind w:left="5040" w:hanging="360"/>
      </w:pPr>
      <w:rPr>
        <w:rFonts w:hint="default" w:ascii="Symbol" w:hAnsi="Symbol"/>
      </w:rPr>
    </w:lvl>
    <w:lvl w:ilvl="7" w:tplc="823A7500" w:tentative="1">
      <w:start w:val="1"/>
      <w:numFmt w:val="bullet"/>
      <w:lvlText w:val=""/>
      <w:lvlJc w:val="left"/>
      <w:pPr>
        <w:tabs>
          <w:tab w:val="num" w:pos="5760"/>
        </w:tabs>
        <w:ind w:left="5760" w:hanging="360"/>
      </w:pPr>
      <w:rPr>
        <w:rFonts w:hint="default" w:ascii="Symbol" w:hAnsi="Symbol"/>
      </w:rPr>
    </w:lvl>
    <w:lvl w:ilvl="8" w:tplc="16F283AE" w:tentative="1">
      <w:start w:val="1"/>
      <w:numFmt w:val="bullet"/>
      <w:lvlText w:val=""/>
      <w:lvlJc w:val="left"/>
      <w:pPr>
        <w:tabs>
          <w:tab w:val="num" w:pos="6480"/>
        </w:tabs>
        <w:ind w:left="6480" w:hanging="360"/>
      </w:pPr>
      <w:rPr>
        <w:rFonts w:hint="default" w:ascii="Symbol" w:hAnsi="Symbol"/>
      </w:rPr>
    </w:lvl>
  </w:abstractNum>
  <w:abstractNum w:abstractNumId="1" w15:restartNumberingAfterBreak="0">
    <w:nsid w:val="14B816C3"/>
    <w:multiLevelType w:val="hybridMultilevel"/>
    <w:tmpl w:val="FC4E0650"/>
    <w:lvl w:ilvl="0" w:tplc="A6D84E74">
      <w:start w:val="1"/>
      <w:numFmt w:val="bullet"/>
      <w:lvlText w:val=""/>
      <w:lvlJc w:val="left"/>
      <w:pPr>
        <w:tabs>
          <w:tab w:val="num" w:pos="720"/>
        </w:tabs>
        <w:ind w:left="720" w:hanging="360"/>
      </w:pPr>
      <w:rPr>
        <w:rFonts w:hint="default" w:ascii="Symbol" w:hAnsi="Symbol"/>
      </w:rPr>
    </w:lvl>
    <w:lvl w:ilvl="1" w:tplc="1730F36C" w:tentative="1">
      <w:start w:val="1"/>
      <w:numFmt w:val="bullet"/>
      <w:lvlText w:val=""/>
      <w:lvlJc w:val="left"/>
      <w:pPr>
        <w:tabs>
          <w:tab w:val="num" w:pos="1440"/>
        </w:tabs>
        <w:ind w:left="1440" w:hanging="360"/>
      </w:pPr>
      <w:rPr>
        <w:rFonts w:hint="default" w:ascii="Symbol" w:hAnsi="Symbol"/>
      </w:rPr>
    </w:lvl>
    <w:lvl w:ilvl="2" w:tplc="1B527A1E" w:tentative="1">
      <w:start w:val="1"/>
      <w:numFmt w:val="bullet"/>
      <w:lvlText w:val=""/>
      <w:lvlJc w:val="left"/>
      <w:pPr>
        <w:tabs>
          <w:tab w:val="num" w:pos="2160"/>
        </w:tabs>
        <w:ind w:left="2160" w:hanging="360"/>
      </w:pPr>
      <w:rPr>
        <w:rFonts w:hint="default" w:ascii="Symbol" w:hAnsi="Symbol"/>
      </w:rPr>
    </w:lvl>
    <w:lvl w:ilvl="3" w:tplc="42869888" w:tentative="1">
      <w:start w:val="1"/>
      <w:numFmt w:val="bullet"/>
      <w:lvlText w:val=""/>
      <w:lvlJc w:val="left"/>
      <w:pPr>
        <w:tabs>
          <w:tab w:val="num" w:pos="2880"/>
        </w:tabs>
        <w:ind w:left="2880" w:hanging="360"/>
      </w:pPr>
      <w:rPr>
        <w:rFonts w:hint="default" w:ascii="Symbol" w:hAnsi="Symbol"/>
      </w:rPr>
    </w:lvl>
    <w:lvl w:ilvl="4" w:tplc="08B4237E" w:tentative="1">
      <w:start w:val="1"/>
      <w:numFmt w:val="bullet"/>
      <w:lvlText w:val=""/>
      <w:lvlJc w:val="left"/>
      <w:pPr>
        <w:tabs>
          <w:tab w:val="num" w:pos="3600"/>
        </w:tabs>
        <w:ind w:left="3600" w:hanging="360"/>
      </w:pPr>
      <w:rPr>
        <w:rFonts w:hint="default" w:ascii="Symbol" w:hAnsi="Symbol"/>
      </w:rPr>
    </w:lvl>
    <w:lvl w:ilvl="5" w:tplc="F1DE5062" w:tentative="1">
      <w:start w:val="1"/>
      <w:numFmt w:val="bullet"/>
      <w:lvlText w:val=""/>
      <w:lvlJc w:val="left"/>
      <w:pPr>
        <w:tabs>
          <w:tab w:val="num" w:pos="4320"/>
        </w:tabs>
        <w:ind w:left="4320" w:hanging="360"/>
      </w:pPr>
      <w:rPr>
        <w:rFonts w:hint="default" w:ascii="Symbol" w:hAnsi="Symbol"/>
      </w:rPr>
    </w:lvl>
    <w:lvl w:ilvl="6" w:tplc="4BB02974" w:tentative="1">
      <w:start w:val="1"/>
      <w:numFmt w:val="bullet"/>
      <w:lvlText w:val=""/>
      <w:lvlJc w:val="left"/>
      <w:pPr>
        <w:tabs>
          <w:tab w:val="num" w:pos="5040"/>
        </w:tabs>
        <w:ind w:left="5040" w:hanging="360"/>
      </w:pPr>
      <w:rPr>
        <w:rFonts w:hint="default" w:ascii="Symbol" w:hAnsi="Symbol"/>
      </w:rPr>
    </w:lvl>
    <w:lvl w:ilvl="7" w:tplc="C302965A" w:tentative="1">
      <w:start w:val="1"/>
      <w:numFmt w:val="bullet"/>
      <w:lvlText w:val=""/>
      <w:lvlJc w:val="left"/>
      <w:pPr>
        <w:tabs>
          <w:tab w:val="num" w:pos="5760"/>
        </w:tabs>
        <w:ind w:left="5760" w:hanging="360"/>
      </w:pPr>
      <w:rPr>
        <w:rFonts w:hint="default" w:ascii="Symbol" w:hAnsi="Symbol"/>
      </w:rPr>
    </w:lvl>
    <w:lvl w:ilvl="8" w:tplc="995E2270" w:tentative="1">
      <w:start w:val="1"/>
      <w:numFmt w:val="bullet"/>
      <w:lvlText w:val=""/>
      <w:lvlJc w:val="left"/>
      <w:pPr>
        <w:tabs>
          <w:tab w:val="num" w:pos="6480"/>
        </w:tabs>
        <w:ind w:left="6480" w:hanging="360"/>
      </w:pPr>
      <w:rPr>
        <w:rFonts w:hint="default" w:ascii="Symbol" w:hAnsi="Symbol"/>
      </w:rPr>
    </w:lvl>
  </w:abstractNum>
  <w:num w:numId="1" w16cid:durableId="113863250">
    <w:abstractNumId w:val="0"/>
  </w:num>
  <w:num w:numId="2" w16cid:durableId="1194658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8A"/>
    <w:rsid w:val="000734B6"/>
    <w:rsid w:val="000923B5"/>
    <w:rsid w:val="001F69C7"/>
    <w:rsid w:val="005505C0"/>
    <w:rsid w:val="005E445C"/>
    <w:rsid w:val="0072343D"/>
    <w:rsid w:val="00884DA8"/>
    <w:rsid w:val="008D1DA4"/>
    <w:rsid w:val="00955067"/>
    <w:rsid w:val="009D05A5"/>
    <w:rsid w:val="009E2D55"/>
    <w:rsid w:val="00A1218A"/>
    <w:rsid w:val="00D1412B"/>
    <w:rsid w:val="00D97F0A"/>
    <w:rsid w:val="00EE776A"/>
    <w:rsid w:val="00F338AE"/>
    <w:rsid w:val="00FC63E2"/>
    <w:rsid w:val="0FAE6588"/>
    <w:rsid w:val="13E64EAC"/>
    <w:rsid w:val="16A21F50"/>
    <w:rsid w:val="28F49DC7"/>
    <w:rsid w:val="2E8BC59C"/>
    <w:rsid w:val="3C491D12"/>
    <w:rsid w:val="4269428B"/>
    <w:rsid w:val="4CC829FD"/>
    <w:rsid w:val="665820AF"/>
    <w:rsid w:val="68C2C0A4"/>
    <w:rsid w:val="6B66FCE7"/>
    <w:rsid w:val="6D6D453C"/>
    <w:rsid w:val="7BBD4D7E"/>
    <w:rsid w:val="7C4DDE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246D"/>
  <w15:chartTrackingRefBased/>
  <w15:docId w15:val="{496A89E3-E362-C645-BD0F-7E01EE89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1218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18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1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1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1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1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1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1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18A"/>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1218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1218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1218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1218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1218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1218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1218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1218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1218A"/>
    <w:rPr>
      <w:rFonts w:eastAsiaTheme="majorEastAsia" w:cstheme="majorBidi"/>
      <w:color w:val="272727" w:themeColor="text1" w:themeTint="D8"/>
    </w:rPr>
  </w:style>
  <w:style w:type="paragraph" w:styleId="Title">
    <w:name w:val="Title"/>
    <w:basedOn w:val="Normal"/>
    <w:next w:val="Normal"/>
    <w:link w:val="TitleChar"/>
    <w:uiPriority w:val="10"/>
    <w:qFormat/>
    <w:rsid w:val="00A1218A"/>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1218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1218A"/>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121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18A"/>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A1218A"/>
    <w:rPr>
      <w:i/>
      <w:iCs/>
      <w:color w:val="404040" w:themeColor="text1" w:themeTint="BF"/>
    </w:rPr>
  </w:style>
  <w:style w:type="paragraph" w:styleId="ListParagraph">
    <w:name w:val="List Paragraph"/>
    <w:basedOn w:val="Normal"/>
    <w:uiPriority w:val="34"/>
    <w:qFormat/>
    <w:rsid w:val="00A1218A"/>
    <w:pPr>
      <w:ind w:left="720"/>
      <w:contextualSpacing/>
    </w:pPr>
  </w:style>
  <w:style w:type="character" w:styleId="IntenseEmphasis">
    <w:name w:val="Intense Emphasis"/>
    <w:basedOn w:val="DefaultParagraphFont"/>
    <w:uiPriority w:val="21"/>
    <w:qFormat/>
    <w:rsid w:val="00A1218A"/>
    <w:rPr>
      <w:i/>
      <w:iCs/>
      <w:color w:val="0F4761" w:themeColor="accent1" w:themeShade="BF"/>
    </w:rPr>
  </w:style>
  <w:style w:type="paragraph" w:styleId="IntenseQuote">
    <w:name w:val="Intense Quote"/>
    <w:basedOn w:val="Normal"/>
    <w:next w:val="Normal"/>
    <w:link w:val="IntenseQuoteChar"/>
    <w:uiPriority w:val="30"/>
    <w:qFormat/>
    <w:rsid w:val="00A1218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1218A"/>
    <w:rPr>
      <w:i/>
      <w:iCs/>
      <w:color w:val="0F4761" w:themeColor="accent1" w:themeShade="BF"/>
    </w:rPr>
  </w:style>
  <w:style w:type="character" w:styleId="IntenseReference">
    <w:name w:val="Intense Reference"/>
    <w:basedOn w:val="DefaultParagraphFont"/>
    <w:uiPriority w:val="32"/>
    <w:qFormat/>
    <w:rsid w:val="00A1218A"/>
    <w:rPr>
      <w:b/>
      <w:bCs/>
      <w:smallCaps/>
      <w:color w:val="0F4761" w:themeColor="accent1" w:themeShade="BF"/>
      <w:spacing w:val="5"/>
    </w:rPr>
  </w:style>
  <w:style w:type="paragraph" w:styleId="NormalWeb">
    <w:name w:val="Normal (Web)"/>
    <w:basedOn w:val="Normal"/>
    <w:uiPriority w:val="99"/>
    <w:semiHidden/>
    <w:unhideWhenUsed/>
    <w:rsid w:val="009D05A5"/>
    <w:pPr>
      <w:spacing w:before="100" w:beforeAutospacing="1" w:after="100" w:afterAutospacing="1"/>
    </w:pPr>
    <w:rPr>
      <w:rFonts w:ascii="Times New Roman" w:hAnsi="Times New Roman" w:eastAsia="Times New Roman" w:cs="Times New Roman"/>
      <w:kern w:val="0"/>
      <w:lang w:eastAsia="en-GB"/>
      <w14:ligatures w14:val="none"/>
    </w:rPr>
  </w:style>
  <w:style w:type="character" w:styleId="Hyperlink">
    <w:name w:val="Hyperlink"/>
    <w:basedOn w:val="DefaultParagraphFont"/>
    <w:uiPriority w:val="99"/>
    <w:unhideWhenUsed/>
    <w:rsid w:val="00884DA8"/>
    <w:rPr>
      <w:color w:val="467886" w:themeColor="hyperlink"/>
      <w:u w:val="single"/>
    </w:rPr>
  </w:style>
  <w:style w:type="character" w:styleId="UnresolvedMention">
    <w:name w:val="Unresolved Mention"/>
    <w:basedOn w:val="DefaultParagraphFont"/>
    <w:uiPriority w:val="99"/>
    <w:semiHidden/>
    <w:unhideWhenUsed/>
    <w:rsid w:val="00884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s://doi.org/10.1080/17441690500211130" TargetMode="External" Id="R7bd239b7c06f47a4" /><Relationship Type="http://schemas.openxmlformats.org/officeDocument/2006/relationships/hyperlink" Target="https://doi.org/10.1002/capr.12587" TargetMode="External" Id="R40f612cea475442b" /><Relationship Type="http://schemas.openxmlformats.org/officeDocument/2006/relationships/hyperlink" Target="https://doi.org/10.3389/fpsyg.2018.01732" TargetMode="External" Id="R2a9d28584d0141ee" /><Relationship Type="http://schemas.openxmlformats.org/officeDocument/2006/relationships/hyperlink" Target="https://doi.org/10.1002/capr.12807" TargetMode="External" Id="Red716e1374014c69" /><Relationship Type="http://schemas.openxmlformats.org/officeDocument/2006/relationships/hyperlink" Target="https://doi.org/10.1002/cpp.660" TargetMode="External" Id="R026200614bb54b69" /><Relationship Type="http://schemas.openxmlformats.org/officeDocument/2006/relationships/hyperlink" Target="https://doi.org/10.1016/j.ijintrel.2023.101798" TargetMode="External" Id="Re9edbfff0c774ab9" /><Relationship Type="http://schemas.openxmlformats.org/officeDocument/2006/relationships/hyperlink" Target="https://doi.org/10.1080/01933922.2018.1561777" TargetMode="External" Id="Rf0d31b7e0dc6402e" /><Relationship Type="http://schemas.openxmlformats.org/officeDocument/2006/relationships/hyperlink" Target="https://doi.org/10.1080/09515070.2018.1502159" TargetMode="External" Id="Rb6211014600a4de9" /><Relationship Type="http://schemas.openxmlformats.org/officeDocument/2006/relationships/hyperlink" Target="https://doi.org/10.1080/14733145.2012.754482" TargetMode="External" Id="Rd81bd07f5b294a2c" /><Relationship Type="http://schemas.openxmlformats.org/officeDocument/2006/relationships/hyperlink" Target="https://doi.org/10.1002/capr.12633" TargetMode="External" Id="R99ba9d73fa82441e" /><Relationship Type="http://schemas.openxmlformats.org/officeDocument/2006/relationships/hyperlink" Target="https://doi.org/10.1177/089484530303000102" TargetMode="External" Id="R25b16d48db914977" /><Relationship Type="http://schemas.openxmlformats.org/officeDocument/2006/relationships/hyperlink" Target="https://doi.org/10.1002/capr.12419" TargetMode="External" Id="Rc7ddc763fe6c447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0035b4ac4f1f6d458e6573a41e763812">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fb8934f80fe27672aaf77fbeee5501c2"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Props1.xml><?xml version="1.0" encoding="utf-8"?>
<ds:datastoreItem xmlns:ds="http://schemas.openxmlformats.org/officeDocument/2006/customXml" ds:itemID="{DD781F55-C484-4AA4-A598-765C118CC56F}">
  <ds:schemaRefs>
    <ds:schemaRef ds:uri="http://schemas.microsoft.com/sharepoint/v3/contenttype/forms"/>
  </ds:schemaRefs>
</ds:datastoreItem>
</file>

<file path=customXml/itemProps2.xml><?xml version="1.0" encoding="utf-8"?>
<ds:datastoreItem xmlns:ds="http://schemas.openxmlformats.org/officeDocument/2006/customXml" ds:itemID="{51D86DB9-0874-42EA-AB37-4FA60F831299}"/>
</file>

<file path=customXml/itemProps3.xml><?xml version="1.0" encoding="utf-8"?>
<ds:datastoreItem xmlns:ds="http://schemas.openxmlformats.org/officeDocument/2006/customXml" ds:itemID="{F97A1CAD-577F-4E91-B9EC-B33D49C2F596}">
  <ds:schemaRefs>
    <ds:schemaRef ds:uri="http://schemas.microsoft.com/office/2006/metadata/properties"/>
    <ds:schemaRef ds:uri="http://schemas.microsoft.com/office/infopath/2007/PartnerControls"/>
    <ds:schemaRef ds:uri="http://schemas.microsoft.com/sharepoint/v3"/>
    <ds:schemaRef ds:uri="026d2202-b4d9-4b15-89c1-0ec0512469f4"/>
    <ds:schemaRef ds:uri="011c7039-0301-41f7-9627-72e5ca99c782"/>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Nosheen Ijaz</dc:creator>
  <cp:keywords/>
  <dc:description/>
  <cp:lastModifiedBy>Lydia Knight</cp:lastModifiedBy>
  <cp:revision>11</cp:revision>
  <dcterms:created xsi:type="dcterms:W3CDTF">2026-04-21T16:59:00Z</dcterms:created>
  <dcterms:modified xsi:type="dcterms:W3CDTF">2026-04-29T10:35:24Z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