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C6B0" w14:textId="001F2C80" w:rsidR="005A046D" w:rsidRDefault="005A046D" w:rsidP="00C03A80"/>
    <w:p w14:paraId="2275C23C" w14:textId="79B14651" w:rsidR="005A046D" w:rsidRDefault="005A046D" w:rsidP="005A046D">
      <w:pPr>
        <w:pStyle w:val="Heading1Block"/>
      </w:pPr>
      <w:r>
        <w:t>Work</w:t>
      </w:r>
      <w:r w:rsidR="006D524C">
        <w:t>ing</w:t>
      </w:r>
      <w:r>
        <w:t xml:space="preserve"> </w:t>
      </w:r>
      <w:r w:rsidR="002E6F70">
        <w:t>Practices</w:t>
      </w:r>
      <w:r>
        <w:t xml:space="preserve"> </w:t>
      </w:r>
    </w:p>
    <w:p w14:paraId="73046D71" w14:textId="6D731FC8" w:rsidR="002E6F70" w:rsidRPr="00E72AA5" w:rsidRDefault="002E6F70" w:rsidP="005A046D">
      <w:pPr>
        <w:pStyle w:val="Heading1Block"/>
      </w:pPr>
      <w:r>
        <w:t>2025</w:t>
      </w:r>
    </w:p>
    <w:p w14:paraId="6AE1C094" w14:textId="4A279877" w:rsidR="005A046D" w:rsidRDefault="008431F1" w:rsidP="008431F1">
      <w:pPr>
        <w:pStyle w:val="Heading1"/>
      </w:pPr>
      <w:r>
        <w:t>Overview</w:t>
      </w:r>
    </w:p>
    <w:p w14:paraId="169B19F1" w14:textId="057DE79E" w:rsidR="005670B9" w:rsidRPr="005670B9" w:rsidRDefault="005670B9" w:rsidP="005670B9">
      <w:pPr>
        <w:pStyle w:val="BodyText"/>
      </w:pPr>
      <w:r w:rsidRPr="005670B9">
        <w:t>The workforce mapping survey supports policy and advocacy work at BACP, by building a current picture of members’ working practices. This enables BACP to identify gaps in provision and make a stronger case for support with policy makers and commissioners.</w:t>
      </w:r>
      <w:r w:rsidR="006A1F98">
        <w:t xml:space="preserve"> We distributed the Workforce Mapping Survey to 53K people. 4028 people completed the survey with a response rate of 7.5%.</w:t>
      </w:r>
    </w:p>
    <w:p w14:paraId="573EEE44" w14:textId="77777777" w:rsidR="005670B9" w:rsidRPr="005670B9" w:rsidRDefault="005670B9" w:rsidP="005670B9">
      <w:pPr>
        <w:pStyle w:val="BodyText"/>
      </w:pPr>
    </w:p>
    <w:p w14:paraId="24479DFE" w14:textId="77777777" w:rsidR="005670B9" w:rsidRPr="005670B9" w:rsidRDefault="005670B9" w:rsidP="005670B9">
      <w:pPr>
        <w:pStyle w:val="BodyText"/>
      </w:pPr>
      <w:r w:rsidRPr="005670B9">
        <w:t>Some of the key areas of information being collected are:</w:t>
      </w:r>
    </w:p>
    <w:p w14:paraId="6A84D357" w14:textId="77777777" w:rsidR="005670B9" w:rsidRPr="005670B9" w:rsidRDefault="005670B9" w:rsidP="005670B9">
      <w:pPr>
        <w:pStyle w:val="BodyText"/>
      </w:pPr>
    </w:p>
    <w:p w14:paraId="04ACA80C" w14:textId="3A33B6B1" w:rsidR="005670B9" w:rsidRPr="005670B9" w:rsidRDefault="005670B9" w:rsidP="005670B9">
      <w:pPr>
        <w:pStyle w:val="BodyText"/>
      </w:pPr>
      <w:r w:rsidRPr="005670B9">
        <w:t xml:space="preserve">• </w:t>
      </w:r>
      <w:r w:rsidR="007E6BC2">
        <w:t>s</w:t>
      </w:r>
      <w:r w:rsidRPr="005670B9">
        <w:t>ectors members work in</w:t>
      </w:r>
    </w:p>
    <w:p w14:paraId="6EB77600" w14:textId="78227912" w:rsidR="005670B9" w:rsidRPr="005670B9" w:rsidRDefault="005670B9" w:rsidP="005670B9">
      <w:pPr>
        <w:pStyle w:val="BodyText"/>
      </w:pPr>
      <w:r w:rsidRPr="005670B9">
        <w:t xml:space="preserve">• </w:t>
      </w:r>
      <w:r w:rsidR="007E6BC2">
        <w:t>c</w:t>
      </w:r>
      <w:r w:rsidRPr="005670B9">
        <w:t>lient groups worked with</w:t>
      </w:r>
    </w:p>
    <w:p w14:paraId="0F36CD32" w14:textId="4EE615D8" w:rsidR="005670B9" w:rsidRPr="005670B9" w:rsidRDefault="005670B9" w:rsidP="005670B9">
      <w:pPr>
        <w:pStyle w:val="BodyText"/>
      </w:pPr>
      <w:r w:rsidRPr="005670B9">
        <w:t xml:space="preserve">• </w:t>
      </w:r>
      <w:r w:rsidR="007E6BC2">
        <w:t>a</w:t>
      </w:r>
      <w:r w:rsidRPr="005670B9">
        <w:t>reas of practice specialism</w:t>
      </w:r>
    </w:p>
    <w:p w14:paraId="446ABFEB" w14:textId="2AE6A9EB" w:rsidR="005670B9" w:rsidRPr="005670B9" w:rsidRDefault="005670B9" w:rsidP="005670B9">
      <w:pPr>
        <w:pStyle w:val="BodyText"/>
      </w:pPr>
      <w:r w:rsidRPr="005670B9">
        <w:t xml:space="preserve">• </w:t>
      </w:r>
      <w:r w:rsidR="007E6BC2">
        <w:t>l</w:t>
      </w:r>
      <w:r w:rsidRPr="005670B9">
        <w:t>evels of training</w:t>
      </w:r>
    </w:p>
    <w:p w14:paraId="4E518285" w14:textId="2B8CAE59" w:rsidR="005670B9" w:rsidRPr="005670B9" w:rsidRDefault="005670B9" w:rsidP="005670B9">
      <w:pPr>
        <w:pStyle w:val="BodyText"/>
      </w:pPr>
      <w:r w:rsidRPr="005670B9">
        <w:t xml:space="preserve">• </w:t>
      </w:r>
      <w:r w:rsidR="007E6BC2">
        <w:t>i</w:t>
      </w:r>
      <w:r w:rsidRPr="005670B9">
        <w:t>ncome and capacity for additional employment</w:t>
      </w:r>
    </w:p>
    <w:p w14:paraId="28091497" w14:textId="335A1D6C" w:rsidR="005670B9" w:rsidRPr="005670B9" w:rsidRDefault="005670B9" w:rsidP="005670B9">
      <w:pPr>
        <w:pStyle w:val="BodyText"/>
      </w:pPr>
      <w:r w:rsidRPr="005670B9">
        <w:t xml:space="preserve">• </w:t>
      </w:r>
      <w:r w:rsidR="007E6BC2">
        <w:t>d</w:t>
      </w:r>
      <w:r w:rsidRPr="005670B9">
        <w:t>emographic characteristics</w:t>
      </w:r>
    </w:p>
    <w:p w14:paraId="7F67AA63" w14:textId="77777777" w:rsidR="005670B9" w:rsidRPr="005670B9" w:rsidRDefault="005670B9" w:rsidP="005670B9">
      <w:pPr>
        <w:pStyle w:val="BodyText"/>
      </w:pPr>
    </w:p>
    <w:p w14:paraId="7A569855" w14:textId="3C671F41" w:rsidR="005670B9" w:rsidRPr="005670B9" w:rsidRDefault="005670B9" w:rsidP="005670B9">
      <w:pPr>
        <w:pStyle w:val="BodyText"/>
      </w:pPr>
      <w:r w:rsidRPr="005670B9">
        <w:t>The findings from the workforce mapping survey have been used, and continue to be used, by BACP’s policy team to inform wider policy</w:t>
      </w:r>
      <w:r w:rsidR="007E6BC2">
        <w:t xml:space="preserve"> </w:t>
      </w:r>
      <w:r w:rsidRPr="005670B9">
        <w:t xml:space="preserve">discussions and strategy relating to the counselling professions. This includes using the information gathered about aspects such as annual income, working hours, additional client hours required, training, professional roles and assessing differences across sectors (for example, third sector, private practice, </w:t>
      </w:r>
      <w:proofErr w:type="gramStart"/>
      <w:r w:rsidRPr="005670B9">
        <w:t>children</w:t>
      </w:r>
      <w:proofErr w:type="gramEnd"/>
      <w:r w:rsidRPr="005670B9">
        <w:t xml:space="preserve"> young people and families, healthcare, and workplace settings), nations, and by demographic characteristics. This helps identify differences between these groups and where further support may be needed. This report presents an analysis of a portion of the key findings from the workforce mapping survey.</w:t>
      </w:r>
    </w:p>
    <w:p w14:paraId="671EFDFF" w14:textId="77777777" w:rsidR="005670B9" w:rsidRPr="005670B9" w:rsidRDefault="005670B9" w:rsidP="005670B9">
      <w:pPr>
        <w:pStyle w:val="BodyText"/>
      </w:pPr>
    </w:p>
    <w:p w14:paraId="2B030910" w14:textId="405BE58B" w:rsidR="005670B9" w:rsidRPr="005670B9" w:rsidRDefault="005670B9" w:rsidP="005670B9">
      <w:pPr>
        <w:pStyle w:val="BodyText"/>
      </w:pPr>
      <w:r w:rsidRPr="005670B9">
        <w:t xml:space="preserve">Since its inception, data from this survey has been used by the BACP </w:t>
      </w:r>
      <w:r w:rsidR="007E6BC2">
        <w:t>P</w:t>
      </w:r>
      <w:r w:rsidRPr="005670B9">
        <w:t xml:space="preserve">olicy </w:t>
      </w:r>
      <w:r w:rsidR="007E6BC2">
        <w:t>T</w:t>
      </w:r>
      <w:r w:rsidRPr="005670B9">
        <w:t>eam in direct briefings to ministers across the four nations. This has included briefings related to health inequalities, school counselling, effectiveness of government catchup and mental health recovery, support for migrants and the mental health strategy consultation.</w:t>
      </w:r>
    </w:p>
    <w:p w14:paraId="0E1DE7D5" w14:textId="3168A466" w:rsidR="00D94F32" w:rsidRDefault="00D94F32" w:rsidP="005A046D">
      <w:pPr>
        <w:pStyle w:val="BodyText"/>
      </w:pPr>
    </w:p>
    <w:p w14:paraId="16779853" w14:textId="77777777" w:rsidR="00734E8E" w:rsidRDefault="00734E8E" w:rsidP="005A046D">
      <w:pPr>
        <w:pStyle w:val="BodyText"/>
      </w:pPr>
    </w:p>
    <w:p w14:paraId="45CD7B2F" w14:textId="77777777" w:rsidR="00D94F32" w:rsidRDefault="00D94F32" w:rsidP="005A046D">
      <w:pPr>
        <w:pStyle w:val="BodyText"/>
      </w:pPr>
    </w:p>
    <w:p w14:paraId="1E3011B1" w14:textId="71865A02" w:rsidR="001101EC" w:rsidRDefault="001101EC" w:rsidP="001101EC">
      <w:pPr>
        <w:pStyle w:val="Heading1"/>
      </w:pPr>
      <w:r>
        <w:t>Key findings</w:t>
      </w:r>
    </w:p>
    <w:p w14:paraId="2DC4CEAE" w14:textId="6CD2D436" w:rsidR="005A046D" w:rsidRDefault="0007396C" w:rsidP="005A046D">
      <w:pPr>
        <w:pStyle w:val="Heading2"/>
      </w:pPr>
      <w:r>
        <w:t>Training</w:t>
      </w:r>
    </w:p>
    <w:p w14:paraId="2D0A4C73" w14:textId="77777777" w:rsidR="00BD75D4" w:rsidRDefault="0007396C" w:rsidP="000366E9">
      <w:pPr>
        <w:pStyle w:val="BodyText"/>
        <w:rPr>
          <w:rFonts w:ascii="Trebuchet MS" w:hAnsi="Trebuchet MS"/>
          <w:color w:val="1F1F20"/>
          <w:shd w:val="clear" w:color="auto" w:fill="FFFFFF"/>
        </w:rPr>
      </w:pPr>
      <w:r w:rsidRPr="0007396C">
        <w:rPr>
          <w:rFonts w:ascii="Trebuchet MS" w:hAnsi="Trebuchet MS"/>
          <w:color w:val="1F1F20"/>
          <w:shd w:val="clear" w:color="auto" w:fill="FFFFFF"/>
        </w:rPr>
        <w:t>A high proportion of respondents enter the Profession with a Level 4 (32.23%), Postgraduate (20.73%), or Level 5 (14.23%) Diploma.  Whilst 13.3% of respondents entered the profession with a </w:t>
      </w:r>
      <w:proofErr w:type="gramStart"/>
      <w:r w:rsidRPr="0007396C">
        <w:rPr>
          <w:rFonts w:ascii="Trebuchet MS" w:hAnsi="Trebuchet MS"/>
          <w:color w:val="1F1F20"/>
          <w:shd w:val="clear" w:color="auto" w:fill="FFFFFF"/>
        </w:rPr>
        <w:t>Masters</w:t>
      </w:r>
      <w:proofErr w:type="gramEnd"/>
      <w:r w:rsidRPr="0007396C">
        <w:rPr>
          <w:rFonts w:ascii="Trebuchet MS" w:hAnsi="Trebuchet MS"/>
          <w:color w:val="1F1F20"/>
          <w:shd w:val="clear" w:color="auto" w:fill="FFFFFF"/>
        </w:rPr>
        <w:t> degree, 23.17% indicated this to be their highest level of training. </w:t>
      </w:r>
      <w:proofErr w:type="gramStart"/>
      <w:r w:rsidRPr="0007396C">
        <w:rPr>
          <w:rFonts w:ascii="Trebuchet MS" w:hAnsi="Trebuchet MS"/>
          <w:color w:val="1F1F20"/>
          <w:shd w:val="clear" w:color="auto" w:fill="FFFFFF"/>
        </w:rPr>
        <w:t>The majority of</w:t>
      </w:r>
      <w:proofErr w:type="gramEnd"/>
      <w:r w:rsidRPr="0007396C">
        <w:rPr>
          <w:rFonts w:ascii="Trebuchet MS" w:hAnsi="Trebuchet MS"/>
          <w:color w:val="1F1F20"/>
          <w:shd w:val="clear" w:color="auto" w:fill="FFFFFF"/>
        </w:rPr>
        <w:t> respondents completed primary training in either integrative (39.48%) or person centred (29.54%) theoretical models.</w:t>
      </w:r>
    </w:p>
    <w:p w14:paraId="3D740A71" w14:textId="2E2DC5CE" w:rsidR="00E931F2" w:rsidRPr="00BD75D4" w:rsidRDefault="008E3139" w:rsidP="000366E9">
      <w:pPr>
        <w:pStyle w:val="BodyText"/>
        <w:rPr>
          <w:rFonts w:ascii="Trebuchet MS" w:hAnsi="Trebuchet MS"/>
          <w:color w:val="1F1F20"/>
          <w:shd w:val="clear" w:color="auto" w:fill="FFFFFF"/>
        </w:rPr>
      </w:pPr>
      <w:r>
        <w:br/>
      </w:r>
      <w:r w:rsidR="0007396C" w:rsidRPr="0007396C">
        <w:rPr>
          <w:rFonts w:asciiTheme="majorHAnsi" w:eastAsiaTheme="majorEastAsia" w:hAnsiTheme="majorHAnsi" w:cstheme="majorBidi"/>
          <w:b/>
          <w:bCs/>
          <w:color w:val="31006F" w:themeColor="accent2"/>
          <w:sz w:val="36"/>
          <w:szCs w:val="26"/>
        </w:rPr>
        <w:t>Professional roles</w:t>
      </w:r>
    </w:p>
    <w:p w14:paraId="62BA9E5C" w14:textId="77777777" w:rsidR="0007396C" w:rsidRDefault="0007396C" w:rsidP="00E931F2">
      <w:pPr>
        <w:keepNext/>
        <w:keepLines/>
        <w:spacing w:after="160"/>
        <w:outlineLvl w:val="1"/>
        <w:rPr>
          <w:rFonts w:ascii="Trebuchet MS" w:eastAsia="Times New Roman" w:hAnsi="Trebuchet MS" w:cs="Times New Roman"/>
          <w:color w:val="1F1F20"/>
          <w:lang w:eastAsia="en-GB"/>
        </w:rPr>
      </w:pPr>
      <w:r w:rsidRPr="0007396C">
        <w:rPr>
          <w:rFonts w:ascii="Trebuchet MS" w:eastAsia="Times New Roman" w:hAnsi="Trebuchet MS" w:cs="Times New Roman"/>
          <w:color w:val="1F1F20"/>
          <w:lang w:eastAsia="en-GB"/>
        </w:rPr>
        <w:t>The most common professional role was as a practitioner in private practice or in the third, charitable and voluntary sector. Approximately one quarter (21%) of respondents were supervisors.</w:t>
      </w:r>
    </w:p>
    <w:p w14:paraId="3AA960A2" w14:textId="77777777" w:rsidR="00506C0E" w:rsidRDefault="00506C0E" w:rsidP="008E3139">
      <w:pPr>
        <w:pStyle w:val="BodyText"/>
        <w:rPr>
          <w:rFonts w:asciiTheme="majorHAnsi" w:eastAsiaTheme="majorEastAsia" w:hAnsiTheme="majorHAnsi" w:cstheme="majorBidi"/>
          <w:b/>
          <w:bCs/>
          <w:color w:val="31006F" w:themeColor="accent2"/>
          <w:sz w:val="36"/>
          <w:szCs w:val="26"/>
        </w:rPr>
      </w:pPr>
      <w:r w:rsidRPr="00506C0E">
        <w:rPr>
          <w:rFonts w:asciiTheme="majorHAnsi" w:eastAsiaTheme="majorEastAsia" w:hAnsiTheme="majorHAnsi" w:cstheme="majorBidi"/>
          <w:b/>
          <w:bCs/>
          <w:color w:val="31006F" w:themeColor="accent2"/>
          <w:sz w:val="36"/>
          <w:szCs w:val="26"/>
        </w:rPr>
        <w:t>Annual income</w:t>
      </w:r>
    </w:p>
    <w:p w14:paraId="2149FA24" w14:textId="77777777" w:rsidR="00506C0E" w:rsidRPr="00506C0E" w:rsidRDefault="00506C0E" w:rsidP="00506C0E">
      <w:pPr>
        <w:pStyle w:val="BodyText"/>
        <w:rPr>
          <w:rFonts w:ascii="Trebuchet MS" w:hAnsi="Trebuchet MS"/>
          <w:color w:val="1F1F20"/>
          <w:shd w:val="clear" w:color="auto" w:fill="FFFFFF"/>
        </w:rPr>
      </w:pPr>
      <w:r w:rsidRPr="00506C0E">
        <w:rPr>
          <w:rFonts w:ascii="Trebuchet MS" w:hAnsi="Trebuchet MS"/>
          <w:color w:val="1F1F20"/>
          <w:shd w:val="clear" w:color="auto" w:fill="FFFFFF"/>
        </w:rPr>
        <w:t>Two thirds (66%) of respondents earn an annual income of £30,000 or less from their counselling work, with 31% of those earning £12,500 or less. 32% of respondents agree they could earn a living from their counselling work</w:t>
      </w:r>
    </w:p>
    <w:p w14:paraId="407CCF1F" w14:textId="77777777" w:rsidR="00BD75D4" w:rsidRDefault="008E3139" w:rsidP="005A046D">
      <w:pPr>
        <w:pStyle w:val="BodyText"/>
        <w:rPr>
          <w:rFonts w:asciiTheme="majorHAnsi" w:eastAsiaTheme="majorEastAsia" w:hAnsiTheme="majorHAnsi" w:cstheme="majorBidi"/>
          <w:b/>
          <w:bCs/>
          <w:color w:val="31006F" w:themeColor="accent2"/>
          <w:sz w:val="36"/>
          <w:szCs w:val="26"/>
        </w:rPr>
      </w:pPr>
      <w:r>
        <w:br/>
      </w:r>
      <w:r w:rsidR="00506C0E" w:rsidRPr="00506C0E">
        <w:rPr>
          <w:rFonts w:asciiTheme="majorHAnsi" w:eastAsiaTheme="majorEastAsia" w:hAnsiTheme="majorHAnsi" w:cstheme="majorBidi"/>
          <w:b/>
          <w:bCs/>
          <w:color w:val="31006F" w:themeColor="accent2"/>
          <w:sz w:val="36"/>
          <w:szCs w:val="26"/>
        </w:rPr>
        <w:t>Paid hours</w:t>
      </w:r>
    </w:p>
    <w:p w14:paraId="797E9EDF" w14:textId="15A39AF8" w:rsidR="00E931F2" w:rsidRDefault="007C54FB" w:rsidP="005A046D">
      <w:pPr>
        <w:pStyle w:val="BodyText"/>
      </w:pPr>
      <w:r>
        <w:rPr>
          <w:rFonts w:ascii="Trebuchet MS" w:hAnsi="Trebuchet MS"/>
          <w:color w:val="1F1F20"/>
          <w:shd w:val="clear" w:color="auto" w:fill="FFFFFF"/>
        </w:rPr>
        <w:br/>
      </w:r>
      <w:r w:rsidR="00506C0E" w:rsidRPr="00506C0E">
        <w:rPr>
          <w:rFonts w:ascii="Trebuchet MS" w:hAnsi="Trebuchet MS"/>
          <w:color w:val="1F1F20"/>
          <w:shd w:val="clear" w:color="auto" w:fill="FFFFFF"/>
        </w:rPr>
        <w:t>The average number of paid </w:t>
      </w:r>
      <w:proofErr w:type="gramStart"/>
      <w:r w:rsidR="00506C0E" w:rsidRPr="00506C0E">
        <w:rPr>
          <w:rFonts w:ascii="Trebuchet MS" w:hAnsi="Trebuchet MS"/>
          <w:color w:val="1F1F20"/>
          <w:shd w:val="clear" w:color="auto" w:fill="FFFFFF"/>
        </w:rPr>
        <w:t>client</w:t>
      </w:r>
      <w:proofErr w:type="gramEnd"/>
      <w:r w:rsidR="00506C0E" w:rsidRPr="00506C0E">
        <w:rPr>
          <w:rFonts w:ascii="Trebuchet MS" w:hAnsi="Trebuchet MS"/>
          <w:color w:val="1F1F20"/>
          <w:shd w:val="clear" w:color="auto" w:fill="FFFFFF"/>
        </w:rPr>
        <w:t> contact hours a week was around 10.25.</w:t>
      </w:r>
    </w:p>
    <w:p w14:paraId="1F241197" w14:textId="77777777" w:rsidR="00BD75D4" w:rsidRDefault="00BD75D4" w:rsidP="007C54FB">
      <w:pPr>
        <w:pStyle w:val="NormalWeb"/>
        <w:shd w:val="clear" w:color="auto" w:fill="FFFFFF"/>
        <w:spacing w:before="0" w:beforeAutospacing="0" w:after="0" w:afterAutospacing="0"/>
        <w:rPr>
          <w:rFonts w:asciiTheme="majorHAnsi" w:eastAsiaTheme="majorEastAsia" w:hAnsiTheme="majorHAnsi" w:cstheme="majorBidi"/>
          <w:b/>
          <w:bCs/>
          <w:color w:val="31006F" w:themeColor="accent2"/>
          <w:sz w:val="36"/>
          <w:szCs w:val="26"/>
          <w:lang w:eastAsia="en-US"/>
        </w:rPr>
      </w:pPr>
      <w:r w:rsidRPr="00BD75D4">
        <w:rPr>
          <w:rFonts w:asciiTheme="majorHAnsi" w:eastAsiaTheme="majorEastAsia" w:hAnsiTheme="majorHAnsi" w:cstheme="majorBidi"/>
          <w:b/>
          <w:bCs/>
          <w:color w:val="31006F" w:themeColor="accent2"/>
          <w:sz w:val="36"/>
          <w:szCs w:val="26"/>
          <w:lang w:eastAsia="en-US"/>
        </w:rPr>
        <w:t>Unpaid and voluntary hours</w:t>
      </w:r>
    </w:p>
    <w:p w14:paraId="1249CAAB" w14:textId="77777777" w:rsidR="00BD75D4" w:rsidRDefault="00BD75D4" w:rsidP="007C54FB">
      <w:pPr>
        <w:pStyle w:val="NormalWeb"/>
        <w:shd w:val="clear" w:color="auto" w:fill="FFFFFF"/>
        <w:spacing w:before="0" w:beforeAutospacing="0" w:after="0" w:afterAutospacing="0"/>
        <w:rPr>
          <w:rFonts w:asciiTheme="majorHAnsi" w:eastAsiaTheme="majorEastAsia" w:hAnsiTheme="majorHAnsi" w:cstheme="majorBidi"/>
          <w:b/>
          <w:bCs/>
          <w:color w:val="31006F" w:themeColor="accent2"/>
          <w:sz w:val="36"/>
          <w:szCs w:val="26"/>
          <w:lang w:eastAsia="en-US"/>
        </w:rPr>
      </w:pPr>
    </w:p>
    <w:p w14:paraId="7794361E" w14:textId="77777777" w:rsidR="00BD75D4" w:rsidRPr="00BD75D4" w:rsidRDefault="00BD75D4" w:rsidP="00BD75D4">
      <w:pPr>
        <w:pStyle w:val="BodyText"/>
        <w:rPr>
          <w:rFonts w:ascii="Trebuchet MS" w:eastAsia="Times New Roman" w:hAnsi="Trebuchet MS" w:cs="Times New Roman"/>
          <w:color w:val="1F1F20"/>
          <w:lang w:eastAsia="en-GB"/>
        </w:rPr>
      </w:pPr>
      <w:r w:rsidRPr="00BD75D4">
        <w:rPr>
          <w:rFonts w:ascii="Trebuchet MS" w:eastAsia="Times New Roman" w:hAnsi="Trebuchet MS" w:cs="Times New Roman"/>
          <w:color w:val="1F1F20"/>
          <w:lang w:eastAsia="en-GB"/>
        </w:rPr>
        <w:t>The average number of unpaid or voluntary client contact hours a week was 1. 29. 51% of respondents working in the third sector worked zero unpaid hours compared to 70% working in private practice. A higher proportion of respondents working in the third sector are earning £0 from counselling related work (7%) than any other sector.</w:t>
      </w:r>
    </w:p>
    <w:p w14:paraId="4D598186" w14:textId="77777777" w:rsidR="007C54FB" w:rsidRDefault="007C54FB" w:rsidP="005A046D">
      <w:pPr>
        <w:pStyle w:val="BodyText"/>
      </w:pPr>
    </w:p>
    <w:p w14:paraId="59FDC76C" w14:textId="77777777" w:rsidR="00C46A95" w:rsidRDefault="00C46A95" w:rsidP="005A046D">
      <w:pPr>
        <w:pStyle w:val="BodyText"/>
      </w:pPr>
    </w:p>
    <w:p w14:paraId="29449901" w14:textId="77777777" w:rsidR="00ED556E" w:rsidRDefault="00ED556E" w:rsidP="005A046D">
      <w:pPr>
        <w:pStyle w:val="Heading2"/>
      </w:pPr>
    </w:p>
    <w:p w14:paraId="0BD8E905" w14:textId="77777777" w:rsidR="00ED556E" w:rsidRDefault="00ED556E" w:rsidP="005A046D">
      <w:pPr>
        <w:pStyle w:val="Heading2"/>
      </w:pPr>
    </w:p>
    <w:p w14:paraId="36D9817D" w14:textId="77777777" w:rsidR="00ED556E" w:rsidRDefault="00ED556E" w:rsidP="005A046D">
      <w:pPr>
        <w:pStyle w:val="Heading2"/>
      </w:pPr>
    </w:p>
    <w:p w14:paraId="6344ABB0" w14:textId="77777777" w:rsidR="006A1F98" w:rsidRDefault="006A1F98" w:rsidP="006A1F98">
      <w:pPr>
        <w:pStyle w:val="BodyText"/>
      </w:pPr>
      <w:r>
        <w:t>Protected Characteristics</w:t>
      </w:r>
    </w:p>
    <w:p w14:paraId="083D7E7A" w14:textId="77777777" w:rsidR="004F5E4D" w:rsidRPr="00EF5149" w:rsidRDefault="004F5E4D" w:rsidP="009737B2">
      <w:pPr>
        <w:pStyle w:val="BodyText"/>
      </w:pPr>
    </w:p>
    <w:p w14:paraId="70878FFE" w14:textId="43896573" w:rsidR="009737B2" w:rsidRPr="00E931F2" w:rsidRDefault="004F7B4A" w:rsidP="009737B2">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Training</w:t>
      </w:r>
    </w:p>
    <w:p w14:paraId="41A311ED" w14:textId="77777777" w:rsidR="00931C62" w:rsidRPr="00931C62" w:rsidRDefault="00931C62" w:rsidP="00931C62">
      <w:pPr>
        <w:pStyle w:val="BodyText"/>
      </w:pPr>
      <w:r w:rsidRPr="00931C62">
        <w:t>A high proportion of respondents enter the Profession with a Level 4 (32.28%), Postgraduate (20.79%), or Level 5 (14.25%) Diploma. </w:t>
      </w:r>
    </w:p>
    <w:p w14:paraId="27F3853E" w14:textId="77777777" w:rsidR="00931C62" w:rsidRPr="00931C62" w:rsidRDefault="00931C62" w:rsidP="00931C62">
      <w:pPr>
        <w:pStyle w:val="BodyText"/>
      </w:pPr>
      <w:r w:rsidRPr="00931C62">
        <w:t>Whilst 13.3% of respondents entered the profession with a </w:t>
      </w:r>
      <w:proofErr w:type="gramStart"/>
      <w:r w:rsidRPr="00931C62">
        <w:t>Masters</w:t>
      </w:r>
      <w:proofErr w:type="gramEnd"/>
      <w:r w:rsidRPr="00931C62">
        <w:t> degree, 23.17% indicated this to be their highest level of training.</w:t>
      </w:r>
    </w:p>
    <w:p w14:paraId="444B74B0" w14:textId="4E11FBA8" w:rsidR="00931C62" w:rsidRPr="00931C62" w:rsidRDefault="00931C62" w:rsidP="00931C62">
      <w:pPr>
        <w:pStyle w:val="BodyText"/>
      </w:pPr>
      <w:proofErr w:type="gramStart"/>
      <w:r w:rsidRPr="00931C62">
        <w:t>The majority of</w:t>
      </w:r>
      <w:proofErr w:type="gramEnd"/>
      <w:r w:rsidRPr="00931C62">
        <w:t> respondents completed primary training in either integrative (39.48%) or </w:t>
      </w:r>
      <w:r w:rsidR="00CD2E08" w:rsidRPr="00CD2E08">
        <w:t>person centred (29.54%) theoretical models.</w:t>
      </w:r>
    </w:p>
    <w:p w14:paraId="2D2E7DC3" w14:textId="048126F7" w:rsidR="009737B2" w:rsidRPr="003807A6" w:rsidRDefault="009737B2" w:rsidP="009737B2">
      <w:pPr>
        <w:pStyle w:val="BodyText"/>
        <w:rPr>
          <w:b/>
          <w:bCs/>
          <w:noProof/>
        </w:rPr>
      </w:pPr>
      <w:r w:rsidRPr="00724B7E">
        <w:rPr>
          <w:b/>
          <w:bCs/>
          <w:noProof/>
        </w:rPr>
        <w:t xml:space="preserve">Table </w:t>
      </w:r>
      <w:r w:rsidR="005D2167" w:rsidRPr="00724B7E">
        <w:rPr>
          <w:b/>
          <w:bCs/>
          <w:noProof/>
        </w:rPr>
        <w:t>1</w:t>
      </w:r>
      <w:r w:rsidRPr="003807A6">
        <w:rPr>
          <w:b/>
          <w:bCs/>
          <w:noProof/>
        </w:rPr>
        <w:t xml:space="preserve">: </w:t>
      </w:r>
      <w:r w:rsidR="00E52D55" w:rsidRPr="003807A6">
        <w:rPr>
          <w:b/>
          <w:bCs/>
          <w:noProof/>
        </w:rPr>
        <w:t>Theoretical model of primary training</w:t>
      </w:r>
    </w:p>
    <w:tbl>
      <w:tblPr>
        <w:tblStyle w:val="TableGrid"/>
        <w:tblW w:w="5000" w:type="pct"/>
        <w:tblLook w:val="04A0" w:firstRow="1" w:lastRow="0" w:firstColumn="1" w:lastColumn="0" w:noHBand="0" w:noVBand="1"/>
      </w:tblPr>
      <w:tblGrid>
        <w:gridCol w:w="6607"/>
        <w:gridCol w:w="3021"/>
      </w:tblGrid>
      <w:tr w:rsidR="00E52D55" w14:paraId="208928D7" w14:textId="77777777" w:rsidTr="00F80F17">
        <w:trPr>
          <w:trHeight w:val="271"/>
        </w:trPr>
        <w:tc>
          <w:tcPr>
            <w:tcW w:w="3431" w:type="pct"/>
          </w:tcPr>
          <w:p w14:paraId="61312159" w14:textId="77777777" w:rsidR="00E52D55" w:rsidRPr="003807A6" w:rsidRDefault="00E52D55" w:rsidP="00E52D55">
            <w:pPr>
              <w:pStyle w:val="BodyText"/>
              <w:rPr>
                <w:b/>
                <w:bCs/>
                <w:noProof/>
              </w:rPr>
            </w:pPr>
            <w:r w:rsidRPr="003807A6">
              <w:rPr>
                <w:b/>
                <w:bCs/>
                <w:noProof/>
              </w:rPr>
              <w:t>Theoretical model of primary training</w:t>
            </w:r>
          </w:p>
          <w:p w14:paraId="6B9B6520" w14:textId="663A2F30" w:rsidR="00E52D55" w:rsidRPr="003807A6" w:rsidRDefault="00E52D55" w:rsidP="002A640A">
            <w:pPr>
              <w:rPr>
                <w:b/>
                <w:bCs/>
                <w:noProof/>
              </w:rPr>
            </w:pPr>
          </w:p>
        </w:tc>
        <w:tc>
          <w:tcPr>
            <w:tcW w:w="1569" w:type="pct"/>
          </w:tcPr>
          <w:p w14:paraId="43835ACF" w14:textId="26AE3703" w:rsidR="00E52D55" w:rsidRPr="009C6A9D" w:rsidRDefault="00E52D55" w:rsidP="002A640A">
            <w:pPr>
              <w:rPr>
                <w:b/>
                <w:bCs/>
                <w:noProof/>
              </w:rPr>
            </w:pPr>
            <w:r w:rsidRPr="003807A6">
              <w:rPr>
                <w:b/>
                <w:bCs/>
                <w:noProof/>
              </w:rPr>
              <w:t xml:space="preserve">Workforce </w:t>
            </w:r>
            <w:r w:rsidR="00724B7E">
              <w:rPr>
                <w:b/>
                <w:bCs/>
                <w:noProof/>
              </w:rPr>
              <w:t>Practices</w:t>
            </w:r>
            <w:r w:rsidRPr="003807A6">
              <w:rPr>
                <w:b/>
                <w:bCs/>
                <w:noProof/>
              </w:rPr>
              <w:t xml:space="preserve"> Survey percentage</w:t>
            </w:r>
          </w:p>
        </w:tc>
      </w:tr>
      <w:tr w:rsidR="00F80F17" w:rsidRPr="00F80F17" w14:paraId="2193579F" w14:textId="77777777" w:rsidTr="00F80F17">
        <w:trPr>
          <w:trHeight w:val="288"/>
        </w:trPr>
        <w:tc>
          <w:tcPr>
            <w:tcW w:w="3431" w:type="pct"/>
            <w:noWrap/>
            <w:hideMark/>
          </w:tcPr>
          <w:p w14:paraId="1B7C1157"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Integrative</w:t>
            </w:r>
          </w:p>
        </w:tc>
        <w:tc>
          <w:tcPr>
            <w:tcW w:w="1569" w:type="pct"/>
            <w:noWrap/>
            <w:hideMark/>
          </w:tcPr>
          <w:p w14:paraId="01B1EB0F" w14:textId="66843620" w:rsidR="00F80F17" w:rsidRPr="00F80F17" w:rsidRDefault="005C2DC2" w:rsidP="00F80F17">
            <w:pPr>
              <w:rPr>
                <w:rFonts w:eastAsia="Times New Roman" w:cs="Calibri"/>
                <w:color w:val="000000"/>
                <w:lang w:eastAsia="en-GB"/>
              </w:rPr>
            </w:pPr>
            <w:r>
              <w:rPr>
                <w:rFonts w:eastAsia="Times New Roman" w:cs="Calibri"/>
                <w:color w:val="000000"/>
                <w:lang w:eastAsia="en-GB"/>
              </w:rPr>
              <w:t>39.48</w:t>
            </w:r>
            <w:r w:rsidR="00F80F17" w:rsidRPr="00F80F17">
              <w:rPr>
                <w:rFonts w:eastAsia="Times New Roman" w:cs="Calibri"/>
                <w:color w:val="000000"/>
                <w:lang w:eastAsia="en-GB"/>
              </w:rPr>
              <w:t>%</w:t>
            </w:r>
          </w:p>
        </w:tc>
      </w:tr>
      <w:tr w:rsidR="00F80F17" w:rsidRPr="00F80F17" w14:paraId="368044F0" w14:textId="77777777" w:rsidTr="00F80F17">
        <w:trPr>
          <w:trHeight w:val="288"/>
        </w:trPr>
        <w:tc>
          <w:tcPr>
            <w:tcW w:w="3431" w:type="pct"/>
            <w:noWrap/>
            <w:hideMark/>
          </w:tcPr>
          <w:p w14:paraId="2C9538F2"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Person-Centred</w:t>
            </w:r>
          </w:p>
        </w:tc>
        <w:tc>
          <w:tcPr>
            <w:tcW w:w="1569" w:type="pct"/>
            <w:noWrap/>
            <w:hideMark/>
          </w:tcPr>
          <w:p w14:paraId="73B65FA5" w14:textId="2FFB7279" w:rsidR="00F80F17" w:rsidRPr="00F80F17" w:rsidRDefault="005C2DC2" w:rsidP="00F80F17">
            <w:pPr>
              <w:rPr>
                <w:rFonts w:eastAsia="Times New Roman" w:cs="Calibri"/>
                <w:color w:val="000000"/>
                <w:lang w:eastAsia="en-GB"/>
              </w:rPr>
            </w:pPr>
            <w:r>
              <w:rPr>
                <w:rFonts w:eastAsia="Times New Roman" w:cs="Calibri"/>
                <w:color w:val="000000"/>
                <w:lang w:eastAsia="en-GB"/>
              </w:rPr>
              <w:t>29.54</w:t>
            </w:r>
            <w:r w:rsidR="00F80F17" w:rsidRPr="00F80F17">
              <w:rPr>
                <w:rFonts w:eastAsia="Times New Roman" w:cs="Calibri"/>
                <w:color w:val="000000"/>
                <w:lang w:eastAsia="en-GB"/>
              </w:rPr>
              <w:t>%</w:t>
            </w:r>
          </w:p>
        </w:tc>
      </w:tr>
      <w:tr w:rsidR="00F80F17" w:rsidRPr="00F80F17" w14:paraId="7D395473" w14:textId="77777777" w:rsidTr="00F80F17">
        <w:trPr>
          <w:trHeight w:val="288"/>
        </w:trPr>
        <w:tc>
          <w:tcPr>
            <w:tcW w:w="3431" w:type="pct"/>
            <w:noWrap/>
            <w:hideMark/>
          </w:tcPr>
          <w:p w14:paraId="71E178BC"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Psychodynamic</w:t>
            </w:r>
          </w:p>
        </w:tc>
        <w:tc>
          <w:tcPr>
            <w:tcW w:w="1569" w:type="pct"/>
            <w:noWrap/>
            <w:hideMark/>
          </w:tcPr>
          <w:p w14:paraId="71E1C46C" w14:textId="463027D9" w:rsidR="00F80F17" w:rsidRPr="00F80F17" w:rsidRDefault="00181EC5" w:rsidP="00F80F17">
            <w:pPr>
              <w:rPr>
                <w:rFonts w:eastAsia="Times New Roman" w:cs="Calibri"/>
                <w:color w:val="000000"/>
                <w:lang w:eastAsia="en-GB"/>
              </w:rPr>
            </w:pPr>
            <w:r>
              <w:rPr>
                <w:rFonts w:eastAsia="Times New Roman" w:cs="Calibri"/>
                <w:color w:val="000000"/>
                <w:lang w:eastAsia="en-GB"/>
              </w:rPr>
              <w:t>1</w:t>
            </w:r>
            <w:r w:rsidR="00653918">
              <w:rPr>
                <w:rFonts w:eastAsia="Times New Roman" w:cs="Calibri"/>
                <w:color w:val="000000"/>
                <w:lang w:eastAsia="en-GB"/>
              </w:rPr>
              <w:t>1.27</w:t>
            </w:r>
            <w:r w:rsidR="00F80F17" w:rsidRPr="00F80F17">
              <w:rPr>
                <w:rFonts w:eastAsia="Times New Roman" w:cs="Calibri"/>
                <w:color w:val="000000"/>
                <w:lang w:eastAsia="en-GB"/>
              </w:rPr>
              <w:t>%</w:t>
            </w:r>
          </w:p>
        </w:tc>
      </w:tr>
      <w:tr w:rsidR="00F80F17" w:rsidRPr="00F80F17" w14:paraId="2DF64DFF" w14:textId="77777777" w:rsidTr="00F80F17">
        <w:trPr>
          <w:trHeight w:val="288"/>
        </w:trPr>
        <w:tc>
          <w:tcPr>
            <w:tcW w:w="3431" w:type="pct"/>
            <w:noWrap/>
            <w:hideMark/>
          </w:tcPr>
          <w:p w14:paraId="1B69AB4D" w14:textId="77777777" w:rsidR="00F80F17" w:rsidRPr="00F80F17" w:rsidRDefault="00F80F17" w:rsidP="00F80F17">
            <w:pPr>
              <w:rPr>
                <w:rFonts w:eastAsia="Times New Roman" w:cs="Calibri"/>
                <w:color w:val="000000"/>
                <w:lang w:eastAsia="en-GB"/>
              </w:rPr>
            </w:pPr>
            <w:r w:rsidRPr="00F80F17">
              <w:rPr>
                <w:rFonts w:eastAsia="Times New Roman" w:cs="Calibri"/>
                <w:color w:val="000000"/>
                <w:lang w:eastAsia="en-GB"/>
              </w:rPr>
              <w:t>Humanistic</w:t>
            </w:r>
          </w:p>
        </w:tc>
        <w:tc>
          <w:tcPr>
            <w:tcW w:w="1569" w:type="pct"/>
            <w:noWrap/>
            <w:hideMark/>
          </w:tcPr>
          <w:p w14:paraId="3FDD75A0" w14:textId="43276041" w:rsidR="00F80F17" w:rsidRPr="00F80F17" w:rsidRDefault="00FB7B30" w:rsidP="00F80F17">
            <w:pPr>
              <w:rPr>
                <w:rFonts w:eastAsia="Times New Roman" w:cs="Calibri"/>
                <w:color w:val="000000"/>
                <w:lang w:eastAsia="en-GB"/>
              </w:rPr>
            </w:pPr>
            <w:r>
              <w:rPr>
                <w:rFonts w:eastAsia="Times New Roman" w:cs="Calibri"/>
                <w:color w:val="000000"/>
                <w:lang w:eastAsia="en-GB"/>
              </w:rPr>
              <w:t>8.</w:t>
            </w:r>
            <w:r w:rsidR="00653918">
              <w:rPr>
                <w:rFonts w:eastAsia="Times New Roman" w:cs="Calibri"/>
                <w:color w:val="000000"/>
                <w:lang w:eastAsia="en-GB"/>
              </w:rPr>
              <w:t>23</w:t>
            </w:r>
            <w:r w:rsidR="00F80F17" w:rsidRPr="00F80F17">
              <w:rPr>
                <w:rFonts w:eastAsia="Times New Roman" w:cs="Calibri"/>
                <w:color w:val="000000"/>
                <w:lang w:eastAsia="en-GB"/>
              </w:rPr>
              <w:t>%</w:t>
            </w:r>
          </w:p>
        </w:tc>
      </w:tr>
      <w:tr w:rsidR="00F80F17" w:rsidRPr="00F80F17" w14:paraId="1739B992" w14:textId="77777777" w:rsidTr="00E13864">
        <w:trPr>
          <w:trHeight w:val="288"/>
        </w:trPr>
        <w:tc>
          <w:tcPr>
            <w:tcW w:w="3431" w:type="pct"/>
            <w:noWrap/>
          </w:tcPr>
          <w:p w14:paraId="5D1B056E" w14:textId="0E99D52E" w:rsidR="00F80F17" w:rsidRPr="00F80F17" w:rsidRDefault="00E13864" w:rsidP="00F80F17">
            <w:pPr>
              <w:rPr>
                <w:rFonts w:eastAsia="Times New Roman" w:cs="Calibri"/>
                <w:color w:val="000000"/>
                <w:lang w:eastAsia="en-GB"/>
              </w:rPr>
            </w:pPr>
            <w:r>
              <w:rPr>
                <w:rFonts w:eastAsia="Times New Roman" w:cs="Calibri"/>
                <w:color w:val="000000"/>
                <w:lang w:eastAsia="en-GB"/>
              </w:rPr>
              <w:t>CBT</w:t>
            </w:r>
          </w:p>
        </w:tc>
        <w:tc>
          <w:tcPr>
            <w:tcW w:w="1569" w:type="pct"/>
            <w:noWrap/>
          </w:tcPr>
          <w:p w14:paraId="70AC25F9" w14:textId="61995900" w:rsidR="00F80F17" w:rsidRPr="00F80F17" w:rsidRDefault="00653918" w:rsidP="00F80F17">
            <w:pPr>
              <w:rPr>
                <w:rFonts w:eastAsia="Times New Roman" w:cs="Calibri"/>
                <w:color w:val="000000"/>
                <w:lang w:eastAsia="en-GB"/>
              </w:rPr>
            </w:pPr>
            <w:r>
              <w:rPr>
                <w:rFonts w:eastAsia="Times New Roman" w:cs="Calibri"/>
                <w:color w:val="000000"/>
                <w:lang w:eastAsia="en-GB"/>
              </w:rPr>
              <w:t>1.77</w:t>
            </w:r>
            <w:r w:rsidR="00872577">
              <w:rPr>
                <w:rFonts w:eastAsia="Times New Roman" w:cs="Calibri"/>
                <w:color w:val="000000"/>
                <w:lang w:eastAsia="en-GB"/>
              </w:rPr>
              <w:t>%</w:t>
            </w:r>
          </w:p>
        </w:tc>
      </w:tr>
      <w:tr w:rsidR="00F80F17" w:rsidRPr="00F80F17" w14:paraId="7DF99FE4" w14:textId="77777777" w:rsidTr="00E13864">
        <w:trPr>
          <w:trHeight w:val="288"/>
        </w:trPr>
        <w:tc>
          <w:tcPr>
            <w:tcW w:w="3431" w:type="pct"/>
            <w:noWrap/>
          </w:tcPr>
          <w:p w14:paraId="1C90D01C" w14:textId="2476CA79" w:rsidR="00F80F17" w:rsidRPr="00F80F17" w:rsidRDefault="00E13864" w:rsidP="00F80F17">
            <w:pPr>
              <w:rPr>
                <w:rFonts w:eastAsia="Times New Roman" w:cs="Calibri"/>
                <w:color w:val="000000"/>
                <w:lang w:eastAsia="en-GB"/>
              </w:rPr>
            </w:pPr>
            <w:r>
              <w:rPr>
                <w:rFonts w:eastAsia="Times New Roman" w:cs="Calibri"/>
                <w:color w:val="000000"/>
                <w:lang w:eastAsia="en-GB"/>
              </w:rPr>
              <w:t>Gestalt</w:t>
            </w:r>
          </w:p>
        </w:tc>
        <w:tc>
          <w:tcPr>
            <w:tcW w:w="1569" w:type="pct"/>
            <w:noWrap/>
          </w:tcPr>
          <w:p w14:paraId="7A8C933E" w14:textId="63C03AFF" w:rsidR="00F80F17" w:rsidRPr="00F80F17" w:rsidRDefault="00872577" w:rsidP="00F80F17">
            <w:pPr>
              <w:rPr>
                <w:rFonts w:eastAsia="Times New Roman" w:cs="Calibri"/>
                <w:color w:val="000000"/>
                <w:lang w:eastAsia="en-GB"/>
              </w:rPr>
            </w:pPr>
            <w:r>
              <w:rPr>
                <w:rFonts w:eastAsia="Times New Roman" w:cs="Calibri"/>
                <w:color w:val="000000"/>
                <w:lang w:eastAsia="en-GB"/>
              </w:rPr>
              <w:t>1.</w:t>
            </w:r>
            <w:r w:rsidR="00653918">
              <w:rPr>
                <w:rFonts w:eastAsia="Times New Roman" w:cs="Calibri"/>
                <w:color w:val="000000"/>
                <w:lang w:eastAsia="en-GB"/>
              </w:rPr>
              <w:t>92</w:t>
            </w:r>
            <w:r>
              <w:rPr>
                <w:rFonts w:eastAsia="Times New Roman" w:cs="Calibri"/>
                <w:color w:val="000000"/>
                <w:lang w:eastAsia="en-GB"/>
              </w:rPr>
              <w:t>%</w:t>
            </w:r>
          </w:p>
        </w:tc>
      </w:tr>
      <w:tr w:rsidR="00F80F17" w:rsidRPr="00F80F17" w14:paraId="708BBDCF" w14:textId="77777777" w:rsidTr="00E13864">
        <w:trPr>
          <w:trHeight w:val="288"/>
        </w:trPr>
        <w:tc>
          <w:tcPr>
            <w:tcW w:w="3431" w:type="pct"/>
            <w:noWrap/>
          </w:tcPr>
          <w:p w14:paraId="6C77DD18" w14:textId="2E49FA53" w:rsidR="00F80F17" w:rsidRPr="00F80F17" w:rsidRDefault="00E13864" w:rsidP="00F80F17">
            <w:pPr>
              <w:rPr>
                <w:rFonts w:eastAsia="Times New Roman" w:cs="Calibri"/>
                <w:color w:val="000000"/>
                <w:lang w:eastAsia="en-GB"/>
              </w:rPr>
            </w:pPr>
            <w:r>
              <w:rPr>
                <w:rFonts w:eastAsia="Times New Roman" w:cs="Calibri"/>
                <w:color w:val="000000"/>
                <w:lang w:eastAsia="en-GB"/>
              </w:rPr>
              <w:t>Pluralistic</w:t>
            </w:r>
          </w:p>
        </w:tc>
        <w:tc>
          <w:tcPr>
            <w:tcW w:w="1569" w:type="pct"/>
            <w:noWrap/>
          </w:tcPr>
          <w:p w14:paraId="4D69D7E1" w14:textId="2E0DDE6D" w:rsidR="00F80F17" w:rsidRPr="00F80F17" w:rsidRDefault="001270C5" w:rsidP="00F80F17">
            <w:pPr>
              <w:rPr>
                <w:rFonts w:eastAsia="Times New Roman" w:cs="Calibri"/>
                <w:color w:val="000000"/>
                <w:lang w:eastAsia="en-GB"/>
              </w:rPr>
            </w:pPr>
            <w:r>
              <w:rPr>
                <w:rFonts w:eastAsia="Times New Roman" w:cs="Calibri"/>
                <w:color w:val="000000"/>
                <w:lang w:eastAsia="en-GB"/>
              </w:rPr>
              <w:t>1.</w:t>
            </w:r>
            <w:r w:rsidR="00677EDB">
              <w:rPr>
                <w:rFonts w:eastAsia="Times New Roman" w:cs="Calibri"/>
                <w:color w:val="000000"/>
                <w:lang w:eastAsia="en-GB"/>
              </w:rPr>
              <w:t>87</w:t>
            </w:r>
            <w:r>
              <w:rPr>
                <w:rFonts w:eastAsia="Times New Roman" w:cs="Calibri"/>
                <w:color w:val="000000"/>
                <w:lang w:eastAsia="en-GB"/>
              </w:rPr>
              <w:t>%</w:t>
            </w:r>
          </w:p>
        </w:tc>
      </w:tr>
      <w:tr w:rsidR="00872577" w:rsidRPr="00F80F17" w14:paraId="06962285" w14:textId="77777777" w:rsidTr="00E13864">
        <w:trPr>
          <w:trHeight w:val="288"/>
        </w:trPr>
        <w:tc>
          <w:tcPr>
            <w:tcW w:w="3431" w:type="pct"/>
            <w:noWrap/>
          </w:tcPr>
          <w:p w14:paraId="6A19BD69" w14:textId="47F223BA" w:rsidR="00872577" w:rsidRDefault="00872577" w:rsidP="00F80F17">
            <w:pPr>
              <w:rPr>
                <w:rFonts w:eastAsia="Times New Roman" w:cs="Calibri"/>
                <w:color w:val="000000"/>
                <w:lang w:eastAsia="en-GB"/>
              </w:rPr>
            </w:pPr>
            <w:r>
              <w:rPr>
                <w:rFonts w:eastAsia="Times New Roman" w:cs="Calibri"/>
                <w:color w:val="000000"/>
                <w:lang w:eastAsia="en-GB"/>
              </w:rPr>
              <w:t>Other</w:t>
            </w:r>
          </w:p>
        </w:tc>
        <w:tc>
          <w:tcPr>
            <w:tcW w:w="1569" w:type="pct"/>
            <w:noWrap/>
          </w:tcPr>
          <w:p w14:paraId="78844D4B" w14:textId="413DBE4A" w:rsidR="00872577" w:rsidRPr="00F80F17" w:rsidRDefault="00C23B2E" w:rsidP="00F80F17">
            <w:pPr>
              <w:rPr>
                <w:rFonts w:eastAsia="Times New Roman" w:cs="Calibri"/>
                <w:color w:val="000000"/>
                <w:lang w:eastAsia="en-GB"/>
              </w:rPr>
            </w:pPr>
            <w:r>
              <w:rPr>
                <w:rFonts w:eastAsia="Times New Roman" w:cs="Calibri"/>
                <w:color w:val="000000"/>
                <w:lang w:eastAsia="en-GB"/>
              </w:rPr>
              <w:t>5.</w:t>
            </w:r>
            <w:r w:rsidR="00CD2065">
              <w:rPr>
                <w:rFonts w:eastAsia="Times New Roman" w:cs="Calibri"/>
                <w:color w:val="000000"/>
                <w:lang w:eastAsia="en-GB"/>
              </w:rPr>
              <w:t>93</w:t>
            </w:r>
            <w:r w:rsidR="001270C5">
              <w:rPr>
                <w:rFonts w:eastAsia="Times New Roman" w:cs="Calibri"/>
                <w:color w:val="000000"/>
                <w:lang w:eastAsia="en-GB"/>
              </w:rPr>
              <w:t>%</w:t>
            </w:r>
          </w:p>
        </w:tc>
      </w:tr>
    </w:tbl>
    <w:p w14:paraId="6CCA53D4" w14:textId="77777777" w:rsidR="00EF5149" w:rsidRDefault="00EF5149" w:rsidP="009737B2">
      <w:pPr>
        <w:pStyle w:val="BodyText"/>
        <w:rPr>
          <w:b/>
          <w:bCs/>
          <w:noProof/>
        </w:rPr>
      </w:pPr>
    </w:p>
    <w:p w14:paraId="7AF953FF" w14:textId="51D3A620" w:rsidR="00247203" w:rsidRPr="004B088E" w:rsidRDefault="00247203" w:rsidP="00247203">
      <w:pPr>
        <w:pStyle w:val="BodyText"/>
        <w:rPr>
          <w:b/>
          <w:bCs/>
          <w:noProof/>
        </w:rPr>
      </w:pPr>
      <w:r w:rsidRPr="004B088E">
        <w:rPr>
          <w:b/>
          <w:bCs/>
          <w:noProof/>
        </w:rPr>
        <w:t xml:space="preserve">Table </w:t>
      </w:r>
      <w:r w:rsidR="00FB7B30">
        <w:rPr>
          <w:b/>
          <w:bCs/>
          <w:noProof/>
        </w:rPr>
        <w:t>2</w:t>
      </w:r>
      <w:r w:rsidRPr="004B088E">
        <w:rPr>
          <w:b/>
          <w:bCs/>
          <w:noProof/>
        </w:rPr>
        <w:t xml:space="preserve">: </w:t>
      </w:r>
      <w:r w:rsidR="0040163B">
        <w:rPr>
          <w:b/>
          <w:bCs/>
          <w:noProof/>
        </w:rPr>
        <w:t>Initial level of training</w:t>
      </w:r>
    </w:p>
    <w:tbl>
      <w:tblPr>
        <w:tblStyle w:val="TableGrid"/>
        <w:tblW w:w="5000" w:type="pct"/>
        <w:tblLook w:val="04A0" w:firstRow="1" w:lastRow="0" w:firstColumn="1" w:lastColumn="0" w:noHBand="0" w:noVBand="1"/>
      </w:tblPr>
      <w:tblGrid>
        <w:gridCol w:w="6607"/>
        <w:gridCol w:w="3021"/>
      </w:tblGrid>
      <w:tr w:rsidR="00247203" w14:paraId="35B72B64" w14:textId="77777777" w:rsidTr="000C20BB">
        <w:trPr>
          <w:trHeight w:val="271"/>
        </w:trPr>
        <w:tc>
          <w:tcPr>
            <w:tcW w:w="3431" w:type="pct"/>
          </w:tcPr>
          <w:p w14:paraId="4A185B24" w14:textId="446DEBB1" w:rsidR="00247203" w:rsidRPr="004B088E" w:rsidRDefault="000C20BB" w:rsidP="002A640A">
            <w:pPr>
              <w:pStyle w:val="BodyText"/>
              <w:rPr>
                <w:b/>
                <w:bCs/>
                <w:noProof/>
              </w:rPr>
            </w:pPr>
            <w:r>
              <w:rPr>
                <w:b/>
                <w:bCs/>
                <w:noProof/>
              </w:rPr>
              <w:t>Initial level of training</w:t>
            </w:r>
          </w:p>
          <w:p w14:paraId="236D5783" w14:textId="77777777" w:rsidR="00247203" w:rsidRPr="009C6A9D" w:rsidRDefault="00247203" w:rsidP="002A640A">
            <w:pPr>
              <w:rPr>
                <w:b/>
                <w:bCs/>
                <w:noProof/>
              </w:rPr>
            </w:pPr>
          </w:p>
        </w:tc>
        <w:tc>
          <w:tcPr>
            <w:tcW w:w="1569" w:type="pct"/>
          </w:tcPr>
          <w:p w14:paraId="34C2F17D" w14:textId="77777777" w:rsidR="00247203" w:rsidRPr="009C6A9D" w:rsidRDefault="00247203" w:rsidP="002A640A">
            <w:pPr>
              <w:rPr>
                <w:b/>
                <w:bCs/>
                <w:noProof/>
              </w:rPr>
            </w:pPr>
            <w:r>
              <w:rPr>
                <w:b/>
                <w:bCs/>
                <w:noProof/>
              </w:rPr>
              <w:t>Workforce Mapping Survey percentage</w:t>
            </w:r>
          </w:p>
        </w:tc>
      </w:tr>
      <w:tr w:rsidR="000C20BB" w:rsidRPr="000C20BB" w14:paraId="7415DAD9" w14:textId="77777777" w:rsidTr="000C20BB">
        <w:trPr>
          <w:trHeight w:val="288"/>
        </w:trPr>
        <w:tc>
          <w:tcPr>
            <w:tcW w:w="3431" w:type="pct"/>
            <w:noWrap/>
            <w:hideMark/>
          </w:tcPr>
          <w:p w14:paraId="31F8DD7B"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Level 4 Diploma</w:t>
            </w:r>
          </w:p>
        </w:tc>
        <w:tc>
          <w:tcPr>
            <w:tcW w:w="1569" w:type="pct"/>
            <w:noWrap/>
            <w:hideMark/>
          </w:tcPr>
          <w:p w14:paraId="33558D2E" w14:textId="4EF9A269" w:rsidR="000C20BB" w:rsidRPr="000C20BB" w:rsidRDefault="000A7354"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32.28</w:t>
            </w:r>
            <w:r w:rsidR="000C20BB" w:rsidRPr="000C20BB">
              <w:rPr>
                <w:rFonts w:asciiTheme="majorHAnsi" w:eastAsia="Times New Roman" w:hAnsiTheme="majorHAnsi" w:cs="Calibri"/>
                <w:color w:val="000000"/>
                <w:lang w:eastAsia="en-GB"/>
              </w:rPr>
              <w:t>%</w:t>
            </w:r>
          </w:p>
        </w:tc>
      </w:tr>
      <w:tr w:rsidR="000C20BB" w:rsidRPr="000C20BB" w14:paraId="7A0F1B90" w14:textId="77777777" w:rsidTr="000C20BB">
        <w:trPr>
          <w:trHeight w:val="288"/>
        </w:trPr>
        <w:tc>
          <w:tcPr>
            <w:tcW w:w="3431" w:type="pct"/>
            <w:noWrap/>
            <w:hideMark/>
          </w:tcPr>
          <w:p w14:paraId="0579BF6E"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Postgraduate diploma</w:t>
            </w:r>
          </w:p>
        </w:tc>
        <w:tc>
          <w:tcPr>
            <w:tcW w:w="1569" w:type="pct"/>
            <w:noWrap/>
            <w:hideMark/>
          </w:tcPr>
          <w:p w14:paraId="2AB19789" w14:textId="4A557483" w:rsidR="000C20BB" w:rsidRPr="000C20BB" w:rsidRDefault="00FB7B30"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w:t>
            </w:r>
            <w:r w:rsidR="000A7354">
              <w:rPr>
                <w:rFonts w:asciiTheme="majorHAnsi" w:eastAsia="Times New Roman" w:hAnsiTheme="majorHAnsi" w:cs="Calibri"/>
                <w:color w:val="000000"/>
                <w:lang w:eastAsia="en-GB"/>
              </w:rPr>
              <w:t>0.79</w:t>
            </w:r>
            <w:r w:rsidR="000C20BB" w:rsidRPr="000C20BB">
              <w:rPr>
                <w:rFonts w:asciiTheme="majorHAnsi" w:eastAsia="Times New Roman" w:hAnsiTheme="majorHAnsi" w:cs="Calibri"/>
                <w:color w:val="000000"/>
                <w:lang w:eastAsia="en-GB"/>
              </w:rPr>
              <w:t>%</w:t>
            </w:r>
          </w:p>
        </w:tc>
      </w:tr>
      <w:tr w:rsidR="000C20BB" w:rsidRPr="000C20BB" w14:paraId="35F40119" w14:textId="77777777" w:rsidTr="000C20BB">
        <w:trPr>
          <w:trHeight w:val="288"/>
        </w:trPr>
        <w:tc>
          <w:tcPr>
            <w:tcW w:w="3431" w:type="pct"/>
            <w:noWrap/>
            <w:hideMark/>
          </w:tcPr>
          <w:p w14:paraId="30A15761"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Level 5 Diploma</w:t>
            </w:r>
          </w:p>
        </w:tc>
        <w:tc>
          <w:tcPr>
            <w:tcW w:w="1569" w:type="pct"/>
            <w:noWrap/>
            <w:hideMark/>
          </w:tcPr>
          <w:p w14:paraId="38A1E5A7" w14:textId="2A31388E" w:rsidR="000C20BB" w:rsidRPr="000C20BB" w:rsidRDefault="00FB7B30"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14.</w:t>
            </w:r>
            <w:r w:rsidR="00915145">
              <w:rPr>
                <w:rFonts w:asciiTheme="majorHAnsi" w:eastAsia="Times New Roman" w:hAnsiTheme="majorHAnsi" w:cs="Calibri"/>
                <w:color w:val="000000"/>
                <w:lang w:eastAsia="en-GB"/>
              </w:rPr>
              <w:t>25</w:t>
            </w:r>
            <w:r w:rsidR="000C20BB" w:rsidRPr="000C20BB">
              <w:rPr>
                <w:rFonts w:asciiTheme="majorHAnsi" w:eastAsia="Times New Roman" w:hAnsiTheme="majorHAnsi" w:cs="Calibri"/>
                <w:color w:val="000000"/>
                <w:lang w:eastAsia="en-GB"/>
              </w:rPr>
              <w:t>%</w:t>
            </w:r>
          </w:p>
        </w:tc>
      </w:tr>
      <w:tr w:rsidR="000C20BB" w:rsidRPr="000C20BB" w14:paraId="457C86E2" w14:textId="77777777" w:rsidTr="000C20BB">
        <w:trPr>
          <w:trHeight w:val="288"/>
        </w:trPr>
        <w:tc>
          <w:tcPr>
            <w:tcW w:w="3431" w:type="pct"/>
            <w:noWrap/>
            <w:hideMark/>
          </w:tcPr>
          <w:p w14:paraId="6CDAF638" w14:textId="77777777" w:rsidR="000C20BB" w:rsidRPr="000C20BB" w:rsidRDefault="000C20BB" w:rsidP="000C20BB">
            <w:pPr>
              <w:rPr>
                <w:rFonts w:asciiTheme="majorHAnsi" w:eastAsia="Times New Roman" w:hAnsiTheme="majorHAnsi" w:cs="Calibri"/>
                <w:color w:val="000000"/>
                <w:lang w:eastAsia="en-GB"/>
              </w:rPr>
            </w:pPr>
            <w:proofErr w:type="spellStart"/>
            <w:proofErr w:type="gramStart"/>
            <w:r w:rsidRPr="000C20BB">
              <w:rPr>
                <w:rFonts w:asciiTheme="majorHAnsi" w:eastAsia="Times New Roman" w:hAnsiTheme="majorHAnsi" w:cs="Calibri"/>
                <w:color w:val="000000"/>
                <w:lang w:eastAsia="en-GB"/>
              </w:rPr>
              <w:t>Masters</w:t>
            </w:r>
            <w:proofErr w:type="spellEnd"/>
            <w:proofErr w:type="gramEnd"/>
            <w:r w:rsidRPr="000C20BB">
              <w:rPr>
                <w:rFonts w:asciiTheme="majorHAnsi" w:eastAsia="Times New Roman" w:hAnsiTheme="majorHAnsi" w:cs="Calibri"/>
                <w:color w:val="000000"/>
                <w:lang w:eastAsia="en-GB"/>
              </w:rPr>
              <w:t xml:space="preserve"> degree</w:t>
            </w:r>
          </w:p>
        </w:tc>
        <w:tc>
          <w:tcPr>
            <w:tcW w:w="1569" w:type="pct"/>
            <w:noWrap/>
            <w:hideMark/>
          </w:tcPr>
          <w:p w14:paraId="2724AFE4" w14:textId="295A0F14" w:rsidR="000C20BB" w:rsidRPr="000C20BB" w:rsidRDefault="00915145"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13.32</w:t>
            </w:r>
            <w:r w:rsidR="000C20BB" w:rsidRPr="000C20BB">
              <w:rPr>
                <w:rFonts w:asciiTheme="majorHAnsi" w:eastAsia="Times New Roman" w:hAnsiTheme="majorHAnsi" w:cs="Calibri"/>
                <w:color w:val="000000"/>
                <w:lang w:eastAsia="en-GB"/>
              </w:rPr>
              <w:t>%</w:t>
            </w:r>
          </w:p>
        </w:tc>
      </w:tr>
      <w:tr w:rsidR="000C20BB" w:rsidRPr="000C20BB" w14:paraId="2B449C86" w14:textId="77777777" w:rsidTr="000C20BB">
        <w:trPr>
          <w:trHeight w:val="288"/>
        </w:trPr>
        <w:tc>
          <w:tcPr>
            <w:tcW w:w="3431" w:type="pct"/>
            <w:noWrap/>
            <w:hideMark/>
          </w:tcPr>
          <w:p w14:paraId="554F69C3" w14:textId="77777777" w:rsidR="000C20BB" w:rsidRPr="000C20BB" w:rsidRDefault="000C20BB" w:rsidP="000C20BB">
            <w:pPr>
              <w:rPr>
                <w:rFonts w:asciiTheme="majorHAnsi" w:eastAsia="Times New Roman" w:hAnsiTheme="majorHAnsi" w:cs="Calibri"/>
                <w:color w:val="000000"/>
                <w:lang w:eastAsia="en-GB"/>
              </w:rPr>
            </w:pPr>
            <w:proofErr w:type="spellStart"/>
            <w:proofErr w:type="gramStart"/>
            <w:r w:rsidRPr="000C20BB">
              <w:rPr>
                <w:rFonts w:asciiTheme="majorHAnsi" w:eastAsia="Times New Roman" w:hAnsiTheme="majorHAnsi" w:cs="Calibri"/>
                <w:color w:val="000000"/>
                <w:lang w:eastAsia="en-GB"/>
              </w:rPr>
              <w:t>Bachelors</w:t>
            </w:r>
            <w:proofErr w:type="spellEnd"/>
            <w:proofErr w:type="gramEnd"/>
            <w:r w:rsidRPr="000C20BB">
              <w:rPr>
                <w:rFonts w:asciiTheme="majorHAnsi" w:eastAsia="Times New Roman" w:hAnsiTheme="majorHAnsi" w:cs="Calibri"/>
                <w:color w:val="000000"/>
                <w:lang w:eastAsia="en-GB"/>
              </w:rPr>
              <w:t xml:space="preserve"> degree</w:t>
            </w:r>
          </w:p>
        </w:tc>
        <w:tc>
          <w:tcPr>
            <w:tcW w:w="1569" w:type="pct"/>
            <w:noWrap/>
            <w:hideMark/>
          </w:tcPr>
          <w:p w14:paraId="629939A0" w14:textId="6ADAF2A4" w:rsidR="000C20BB" w:rsidRPr="000C20BB" w:rsidRDefault="00900E8A"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6.</w:t>
            </w:r>
            <w:r w:rsidR="00915145">
              <w:rPr>
                <w:rFonts w:asciiTheme="majorHAnsi" w:eastAsia="Times New Roman" w:hAnsiTheme="majorHAnsi" w:cs="Calibri"/>
                <w:color w:val="000000"/>
                <w:lang w:eastAsia="en-GB"/>
              </w:rPr>
              <w:t>8</w:t>
            </w:r>
            <w:r w:rsidR="00EC6D52">
              <w:rPr>
                <w:rFonts w:asciiTheme="majorHAnsi" w:eastAsia="Times New Roman" w:hAnsiTheme="majorHAnsi" w:cs="Calibri"/>
                <w:color w:val="000000"/>
                <w:lang w:eastAsia="en-GB"/>
              </w:rPr>
              <w:t>6</w:t>
            </w:r>
            <w:r w:rsidR="000C20BB" w:rsidRPr="000C20BB">
              <w:rPr>
                <w:rFonts w:asciiTheme="majorHAnsi" w:eastAsia="Times New Roman" w:hAnsiTheme="majorHAnsi" w:cs="Calibri"/>
                <w:color w:val="000000"/>
                <w:lang w:eastAsia="en-GB"/>
              </w:rPr>
              <w:t>%</w:t>
            </w:r>
          </w:p>
        </w:tc>
      </w:tr>
      <w:tr w:rsidR="000C20BB" w:rsidRPr="000C20BB" w14:paraId="0DE7A55A" w14:textId="77777777" w:rsidTr="000C20BB">
        <w:trPr>
          <w:trHeight w:val="288"/>
        </w:trPr>
        <w:tc>
          <w:tcPr>
            <w:tcW w:w="3431" w:type="pct"/>
            <w:noWrap/>
            <w:hideMark/>
          </w:tcPr>
          <w:p w14:paraId="02357BA7"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Foundation degree</w:t>
            </w:r>
          </w:p>
        </w:tc>
        <w:tc>
          <w:tcPr>
            <w:tcW w:w="1569" w:type="pct"/>
            <w:noWrap/>
            <w:hideMark/>
          </w:tcPr>
          <w:p w14:paraId="58D56745" w14:textId="1E8F5CDC" w:rsidR="000C20BB" w:rsidRPr="000C20BB" w:rsidRDefault="00915145"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5.53</w:t>
            </w:r>
            <w:r w:rsidR="000C20BB" w:rsidRPr="000C20BB">
              <w:rPr>
                <w:rFonts w:asciiTheme="majorHAnsi" w:eastAsia="Times New Roman" w:hAnsiTheme="majorHAnsi" w:cs="Calibri"/>
                <w:color w:val="000000"/>
                <w:lang w:eastAsia="en-GB"/>
              </w:rPr>
              <w:t>%</w:t>
            </w:r>
          </w:p>
        </w:tc>
      </w:tr>
      <w:tr w:rsidR="000C20BB" w:rsidRPr="000C20BB" w14:paraId="4BB8FD1D" w14:textId="77777777" w:rsidTr="000C20BB">
        <w:trPr>
          <w:trHeight w:val="288"/>
        </w:trPr>
        <w:tc>
          <w:tcPr>
            <w:tcW w:w="3431" w:type="pct"/>
            <w:noWrap/>
            <w:hideMark/>
          </w:tcPr>
          <w:p w14:paraId="0ABF2BAA"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Other</w:t>
            </w:r>
          </w:p>
        </w:tc>
        <w:tc>
          <w:tcPr>
            <w:tcW w:w="1569" w:type="pct"/>
            <w:noWrap/>
            <w:hideMark/>
          </w:tcPr>
          <w:p w14:paraId="62FAD48C" w14:textId="35309024" w:rsidR="000C20BB" w:rsidRPr="000C20BB" w:rsidRDefault="00915145" w:rsidP="000C20BB">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4.36</w:t>
            </w:r>
            <w:r w:rsidR="000C20BB" w:rsidRPr="000C20BB">
              <w:rPr>
                <w:rFonts w:asciiTheme="majorHAnsi" w:eastAsia="Times New Roman" w:hAnsiTheme="majorHAnsi" w:cs="Calibri"/>
                <w:color w:val="000000"/>
                <w:lang w:eastAsia="en-GB"/>
              </w:rPr>
              <w:t>%</w:t>
            </w:r>
          </w:p>
        </w:tc>
      </w:tr>
      <w:tr w:rsidR="000C20BB" w:rsidRPr="000C20BB" w14:paraId="7C7E91A3" w14:textId="77777777" w:rsidTr="000C20BB">
        <w:trPr>
          <w:trHeight w:val="288"/>
        </w:trPr>
        <w:tc>
          <w:tcPr>
            <w:tcW w:w="3431" w:type="pct"/>
            <w:noWrap/>
            <w:hideMark/>
          </w:tcPr>
          <w:p w14:paraId="12D31DDA"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Higher National Diploma (HND)</w:t>
            </w:r>
          </w:p>
        </w:tc>
        <w:tc>
          <w:tcPr>
            <w:tcW w:w="1569" w:type="pct"/>
            <w:noWrap/>
            <w:hideMark/>
          </w:tcPr>
          <w:p w14:paraId="482CDF47" w14:textId="45F04EFA"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2.</w:t>
            </w:r>
            <w:r w:rsidR="00215693">
              <w:rPr>
                <w:rFonts w:asciiTheme="majorHAnsi" w:eastAsia="Times New Roman" w:hAnsiTheme="majorHAnsi" w:cs="Calibri"/>
                <w:color w:val="000000"/>
                <w:lang w:eastAsia="en-GB"/>
              </w:rPr>
              <w:t>23</w:t>
            </w:r>
            <w:r w:rsidRPr="000C20BB">
              <w:rPr>
                <w:rFonts w:asciiTheme="majorHAnsi" w:eastAsia="Times New Roman" w:hAnsiTheme="majorHAnsi" w:cs="Calibri"/>
                <w:color w:val="000000"/>
                <w:lang w:eastAsia="en-GB"/>
              </w:rPr>
              <w:t>%</w:t>
            </w:r>
          </w:p>
        </w:tc>
      </w:tr>
      <w:tr w:rsidR="000C20BB" w:rsidRPr="000C20BB" w14:paraId="23584CAA" w14:textId="77777777" w:rsidTr="000C20BB">
        <w:trPr>
          <w:trHeight w:val="288"/>
        </w:trPr>
        <w:tc>
          <w:tcPr>
            <w:tcW w:w="3431" w:type="pct"/>
            <w:noWrap/>
            <w:hideMark/>
          </w:tcPr>
          <w:p w14:paraId="1EA61B2B" w14:textId="7777777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Doctorate</w:t>
            </w:r>
          </w:p>
        </w:tc>
        <w:tc>
          <w:tcPr>
            <w:tcW w:w="1569" w:type="pct"/>
            <w:noWrap/>
            <w:hideMark/>
          </w:tcPr>
          <w:p w14:paraId="656D0B53" w14:textId="6B57DA97" w:rsidR="000C20BB" w:rsidRPr="000C20BB" w:rsidRDefault="000C20BB" w:rsidP="000C20BB">
            <w:pPr>
              <w:rPr>
                <w:rFonts w:asciiTheme="majorHAnsi" w:eastAsia="Times New Roman" w:hAnsiTheme="majorHAnsi" w:cs="Calibri"/>
                <w:color w:val="000000"/>
                <w:lang w:eastAsia="en-GB"/>
              </w:rPr>
            </w:pPr>
            <w:r w:rsidRPr="000C20BB">
              <w:rPr>
                <w:rFonts w:asciiTheme="majorHAnsi" w:eastAsia="Times New Roman" w:hAnsiTheme="majorHAnsi" w:cs="Calibri"/>
                <w:color w:val="000000"/>
                <w:lang w:eastAsia="en-GB"/>
              </w:rPr>
              <w:t>0.</w:t>
            </w:r>
            <w:r w:rsidR="00215693">
              <w:rPr>
                <w:rFonts w:asciiTheme="majorHAnsi" w:eastAsia="Times New Roman" w:hAnsiTheme="majorHAnsi" w:cs="Calibri"/>
                <w:color w:val="000000"/>
                <w:lang w:eastAsia="en-GB"/>
              </w:rPr>
              <w:t>38</w:t>
            </w:r>
            <w:r w:rsidRPr="000C20BB">
              <w:rPr>
                <w:rFonts w:asciiTheme="majorHAnsi" w:eastAsia="Times New Roman" w:hAnsiTheme="majorHAnsi" w:cs="Calibri"/>
                <w:color w:val="000000"/>
                <w:lang w:eastAsia="en-GB"/>
              </w:rPr>
              <w:t>%</w:t>
            </w:r>
          </w:p>
        </w:tc>
      </w:tr>
    </w:tbl>
    <w:p w14:paraId="7FE6F9C4" w14:textId="77777777" w:rsidR="009737B2" w:rsidRDefault="009737B2" w:rsidP="009737B2">
      <w:pPr>
        <w:pStyle w:val="BodyText"/>
        <w:rPr>
          <w:b/>
          <w:bCs/>
          <w:noProof/>
        </w:rPr>
      </w:pPr>
    </w:p>
    <w:p w14:paraId="146D374F" w14:textId="77777777" w:rsidR="009737B2" w:rsidRDefault="009737B2" w:rsidP="009737B2">
      <w:pPr>
        <w:pStyle w:val="BodyText"/>
        <w:rPr>
          <w:b/>
          <w:bCs/>
          <w:noProof/>
        </w:rPr>
      </w:pPr>
    </w:p>
    <w:p w14:paraId="2308EE3C" w14:textId="77777777" w:rsidR="00CD0488" w:rsidRDefault="00CD0488" w:rsidP="009737B2">
      <w:pPr>
        <w:pStyle w:val="BodyText"/>
        <w:rPr>
          <w:b/>
          <w:bCs/>
          <w:noProof/>
        </w:rPr>
      </w:pPr>
    </w:p>
    <w:p w14:paraId="58953BF8" w14:textId="77777777" w:rsidR="00CD0488" w:rsidRDefault="00CD0488" w:rsidP="009737B2">
      <w:pPr>
        <w:pStyle w:val="BodyText"/>
        <w:rPr>
          <w:b/>
          <w:bCs/>
          <w:noProof/>
        </w:rPr>
      </w:pPr>
    </w:p>
    <w:p w14:paraId="274BAF37" w14:textId="77777777" w:rsidR="00CD0488" w:rsidRDefault="00CD0488" w:rsidP="009737B2">
      <w:pPr>
        <w:pStyle w:val="BodyText"/>
        <w:rPr>
          <w:b/>
          <w:bCs/>
          <w:noProof/>
        </w:rPr>
      </w:pPr>
    </w:p>
    <w:p w14:paraId="5A897DE1" w14:textId="77777777" w:rsidR="00CD0488" w:rsidRDefault="00CD0488" w:rsidP="009737B2">
      <w:pPr>
        <w:pStyle w:val="BodyText"/>
        <w:rPr>
          <w:b/>
          <w:bCs/>
          <w:noProof/>
        </w:rPr>
      </w:pPr>
    </w:p>
    <w:p w14:paraId="416AB36F" w14:textId="77777777" w:rsidR="00CD0488" w:rsidRDefault="00CD0488" w:rsidP="009737B2">
      <w:pPr>
        <w:pStyle w:val="BodyText"/>
        <w:rPr>
          <w:b/>
          <w:bCs/>
          <w:noProof/>
        </w:rPr>
      </w:pPr>
    </w:p>
    <w:p w14:paraId="05806F89" w14:textId="77777777" w:rsidR="00CD0488" w:rsidRDefault="00CD0488" w:rsidP="009737B2">
      <w:pPr>
        <w:pStyle w:val="BodyText"/>
        <w:rPr>
          <w:b/>
          <w:bCs/>
          <w:noProof/>
        </w:rPr>
      </w:pPr>
    </w:p>
    <w:p w14:paraId="59636D3E" w14:textId="5CA1A8D7" w:rsidR="000C20BB" w:rsidRPr="004B088E" w:rsidRDefault="000C20BB" w:rsidP="000C20BB">
      <w:pPr>
        <w:pStyle w:val="BodyText"/>
        <w:rPr>
          <w:b/>
          <w:bCs/>
          <w:noProof/>
        </w:rPr>
      </w:pPr>
      <w:r w:rsidRPr="004B088E">
        <w:rPr>
          <w:b/>
          <w:bCs/>
          <w:noProof/>
        </w:rPr>
        <w:t xml:space="preserve">Table </w:t>
      </w:r>
      <w:r w:rsidR="00900E8A">
        <w:rPr>
          <w:b/>
          <w:bCs/>
          <w:noProof/>
        </w:rPr>
        <w:t>3</w:t>
      </w:r>
      <w:r w:rsidRPr="004B088E">
        <w:rPr>
          <w:b/>
          <w:bCs/>
          <w:noProof/>
        </w:rPr>
        <w:t xml:space="preserve">: </w:t>
      </w:r>
      <w:r>
        <w:rPr>
          <w:b/>
          <w:bCs/>
          <w:noProof/>
        </w:rPr>
        <w:t>Highest level of training</w:t>
      </w:r>
    </w:p>
    <w:tbl>
      <w:tblPr>
        <w:tblStyle w:val="TableGrid"/>
        <w:tblW w:w="5000" w:type="pct"/>
        <w:tblLook w:val="04A0" w:firstRow="1" w:lastRow="0" w:firstColumn="1" w:lastColumn="0" w:noHBand="0" w:noVBand="1"/>
      </w:tblPr>
      <w:tblGrid>
        <w:gridCol w:w="6607"/>
        <w:gridCol w:w="3021"/>
      </w:tblGrid>
      <w:tr w:rsidR="000C20BB" w14:paraId="7F24DC21" w14:textId="77777777" w:rsidTr="00B37042">
        <w:trPr>
          <w:trHeight w:val="271"/>
        </w:trPr>
        <w:tc>
          <w:tcPr>
            <w:tcW w:w="3431" w:type="pct"/>
          </w:tcPr>
          <w:p w14:paraId="5662CB4C" w14:textId="628F01E9" w:rsidR="000C20BB" w:rsidRPr="004B088E" w:rsidRDefault="000C20BB" w:rsidP="002A640A">
            <w:pPr>
              <w:pStyle w:val="BodyText"/>
              <w:rPr>
                <w:b/>
                <w:bCs/>
                <w:noProof/>
              </w:rPr>
            </w:pPr>
            <w:r>
              <w:rPr>
                <w:b/>
                <w:bCs/>
                <w:noProof/>
              </w:rPr>
              <w:t>Highest level of training</w:t>
            </w:r>
          </w:p>
          <w:p w14:paraId="271E1267" w14:textId="77777777" w:rsidR="000C20BB" w:rsidRPr="009C6A9D" w:rsidRDefault="000C20BB" w:rsidP="002A640A">
            <w:pPr>
              <w:rPr>
                <w:b/>
                <w:bCs/>
                <w:noProof/>
              </w:rPr>
            </w:pPr>
          </w:p>
        </w:tc>
        <w:tc>
          <w:tcPr>
            <w:tcW w:w="1569" w:type="pct"/>
          </w:tcPr>
          <w:p w14:paraId="47B4D38E" w14:textId="77777777" w:rsidR="000C20BB" w:rsidRPr="009C6A9D" w:rsidRDefault="000C20BB" w:rsidP="002A640A">
            <w:pPr>
              <w:rPr>
                <w:b/>
                <w:bCs/>
                <w:noProof/>
              </w:rPr>
            </w:pPr>
            <w:r>
              <w:rPr>
                <w:b/>
                <w:bCs/>
                <w:noProof/>
              </w:rPr>
              <w:t>Workforce Mapping Survey percentage</w:t>
            </w:r>
          </w:p>
        </w:tc>
      </w:tr>
      <w:tr w:rsidR="00B37042" w:rsidRPr="00B37042" w14:paraId="30F65881" w14:textId="77777777" w:rsidTr="00B37042">
        <w:trPr>
          <w:trHeight w:val="288"/>
        </w:trPr>
        <w:tc>
          <w:tcPr>
            <w:tcW w:w="3431" w:type="pct"/>
            <w:noWrap/>
            <w:hideMark/>
          </w:tcPr>
          <w:p w14:paraId="23B5D176" w14:textId="77777777" w:rsidR="00B37042" w:rsidRPr="00B37042" w:rsidRDefault="00B37042" w:rsidP="00B37042">
            <w:pPr>
              <w:rPr>
                <w:rFonts w:asciiTheme="majorHAnsi" w:eastAsia="Times New Roman" w:hAnsiTheme="majorHAnsi" w:cs="Calibri"/>
                <w:color w:val="000000"/>
                <w:lang w:eastAsia="en-GB"/>
              </w:rPr>
            </w:pPr>
            <w:proofErr w:type="spellStart"/>
            <w:proofErr w:type="gramStart"/>
            <w:r w:rsidRPr="00B37042">
              <w:rPr>
                <w:rFonts w:asciiTheme="majorHAnsi" w:eastAsia="Times New Roman" w:hAnsiTheme="majorHAnsi" w:cs="Calibri"/>
                <w:color w:val="000000"/>
                <w:lang w:eastAsia="en-GB"/>
              </w:rPr>
              <w:t>Masters</w:t>
            </w:r>
            <w:proofErr w:type="spellEnd"/>
            <w:proofErr w:type="gramEnd"/>
            <w:r w:rsidRPr="00B37042">
              <w:rPr>
                <w:rFonts w:asciiTheme="majorHAnsi" w:eastAsia="Times New Roman" w:hAnsiTheme="majorHAnsi" w:cs="Calibri"/>
                <w:color w:val="000000"/>
                <w:lang w:eastAsia="en-GB"/>
              </w:rPr>
              <w:t xml:space="preserve"> degree</w:t>
            </w:r>
          </w:p>
        </w:tc>
        <w:tc>
          <w:tcPr>
            <w:tcW w:w="1569" w:type="pct"/>
            <w:noWrap/>
            <w:hideMark/>
          </w:tcPr>
          <w:p w14:paraId="11317230" w14:textId="40C24306"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w:t>
            </w:r>
            <w:r w:rsidR="00CD2E08">
              <w:rPr>
                <w:rFonts w:asciiTheme="majorHAnsi" w:eastAsia="Times New Roman" w:hAnsiTheme="majorHAnsi" w:cs="Calibri"/>
                <w:color w:val="000000"/>
                <w:lang w:eastAsia="en-GB"/>
              </w:rPr>
              <w:t>3.17</w:t>
            </w:r>
            <w:r w:rsidR="00B37042" w:rsidRPr="00B37042">
              <w:rPr>
                <w:rFonts w:asciiTheme="majorHAnsi" w:eastAsia="Times New Roman" w:hAnsiTheme="majorHAnsi" w:cs="Calibri"/>
                <w:color w:val="000000"/>
                <w:lang w:eastAsia="en-GB"/>
              </w:rPr>
              <w:t>%</w:t>
            </w:r>
          </w:p>
        </w:tc>
      </w:tr>
      <w:tr w:rsidR="00B37042" w:rsidRPr="00B37042" w14:paraId="61A9B033" w14:textId="77777777" w:rsidTr="00B37042">
        <w:trPr>
          <w:trHeight w:val="288"/>
        </w:trPr>
        <w:tc>
          <w:tcPr>
            <w:tcW w:w="3431" w:type="pct"/>
            <w:noWrap/>
            <w:hideMark/>
          </w:tcPr>
          <w:p w14:paraId="75AE281F"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Postgraduate diploma</w:t>
            </w:r>
          </w:p>
        </w:tc>
        <w:tc>
          <w:tcPr>
            <w:tcW w:w="1569" w:type="pct"/>
            <w:noWrap/>
            <w:hideMark/>
          </w:tcPr>
          <w:p w14:paraId="3546369B" w14:textId="77DF7455" w:rsidR="00B37042" w:rsidRPr="00B37042" w:rsidRDefault="00CD2E0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19.69</w:t>
            </w:r>
            <w:r w:rsidR="00B37042" w:rsidRPr="00B37042">
              <w:rPr>
                <w:rFonts w:asciiTheme="majorHAnsi" w:eastAsia="Times New Roman" w:hAnsiTheme="majorHAnsi" w:cs="Calibri"/>
                <w:color w:val="000000"/>
                <w:lang w:eastAsia="en-GB"/>
              </w:rPr>
              <w:t>%</w:t>
            </w:r>
          </w:p>
        </w:tc>
      </w:tr>
      <w:tr w:rsidR="00B37042" w:rsidRPr="00B37042" w14:paraId="193D4113" w14:textId="77777777" w:rsidTr="00B37042">
        <w:trPr>
          <w:trHeight w:val="288"/>
        </w:trPr>
        <w:tc>
          <w:tcPr>
            <w:tcW w:w="3431" w:type="pct"/>
            <w:noWrap/>
            <w:hideMark/>
          </w:tcPr>
          <w:p w14:paraId="45D970D7"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Level 4 Diploma</w:t>
            </w:r>
          </w:p>
        </w:tc>
        <w:tc>
          <w:tcPr>
            <w:tcW w:w="1569" w:type="pct"/>
            <w:noWrap/>
            <w:hideMark/>
          </w:tcPr>
          <w:p w14:paraId="41CAB98E" w14:textId="48913C8D" w:rsidR="00B37042" w:rsidRPr="00B37042" w:rsidRDefault="00CD2E0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19.71</w:t>
            </w:r>
            <w:r w:rsidR="00B37042" w:rsidRPr="00B37042">
              <w:rPr>
                <w:rFonts w:asciiTheme="majorHAnsi" w:eastAsia="Times New Roman" w:hAnsiTheme="majorHAnsi" w:cs="Calibri"/>
                <w:color w:val="000000"/>
                <w:lang w:eastAsia="en-GB"/>
              </w:rPr>
              <w:t>%</w:t>
            </w:r>
          </w:p>
        </w:tc>
      </w:tr>
      <w:tr w:rsidR="00B37042" w:rsidRPr="00B37042" w14:paraId="6BC6C9F0" w14:textId="77777777" w:rsidTr="00B37042">
        <w:trPr>
          <w:trHeight w:val="288"/>
        </w:trPr>
        <w:tc>
          <w:tcPr>
            <w:tcW w:w="3431" w:type="pct"/>
            <w:noWrap/>
            <w:hideMark/>
          </w:tcPr>
          <w:p w14:paraId="5DF62A20"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Level 5 Diploma</w:t>
            </w:r>
          </w:p>
        </w:tc>
        <w:tc>
          <w:tcPr>
            <w:tcW w:w="1569" w:type="pct"/>
            <w:noWrap/>
            <w:hideMark/>
          </w:tcPr>
          <w:p w14:paraId="47BAFE9E" w14:textId="58606988" w:rsidR="00B37042" w:rsidRPr="00B37042" w:rsidRDefault="001F1F5E"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13.64</w:t>
            </w:r>
            <w:r w:rsidR="00B37042" w:rsidRPr="00B37042">
              <w:rPr>
                <w:rFonts w:asciiTheme="majorHAnsi" w:eastAsia="Times New Roman" w:hAnsiTheme="majorHAnsi" w:cs="Calibri"/>
                <w:color w:val="000000"/>
                <w:lang w:eastAsia="en-GB"/>
              </w:rPr>
              <w:t>%</w:t>
            </w:r>
          </w:p>
        </w:tc>
      </w:tr>
      <w:tr w:rsidR="00B37042" w:rsidRPr="00B37042" w14:paraId="3595DC9D" w14:textId="77777777" w:rsidTr="00B37042">
        <w:trPr>
          <w:trHeight w:val="288"/>
        </w:trPr>
        <w:tc>
          <w:tcPr>
            <w:tcW w:w="3431" w:type="pct"/>
            <w:noWrap/>
            <w:hideMark/>
          </w:tcPr>
          <w:p w14:paraId="443DF486" w14:textId="77777777" w:rsidR="00B37042" w:rsidRPr="00B37042" w:rsidRDefault="00B37042" w:rsidP="00B37042">
            <w:pPr>
              <w:rPr>
                <w:rFonts w:asciiTheme="majorHAnsi" w:eastAsia="Times New Roman" w:hAnsiTheme="majorHAnsi" w:cs="Calibri"/>
                <w:color w:val="000000"/>
                <w:lang w:eastAsia="en-GB"/>
              </w:rPr>
            </w:pPr>
            <w:proofErr w:type="spellStart"/>
            <w:proofErr w:type="gramStart"/>
            <w:r w:rsidRPr="00B37042">
              <w:rPr>
                <w:rFonts w:asciiTheme="majorHAnsi" w:eastAsia="Times New Roman" w:hAnsiTheme="majorHAnsi" w:cs="Calibri"/>
                <w:color w:val="000000"/>
                <w:lang w:eastAsia="en-GB"/>
              </w:rPr>
              <w:t>Bachelors</w:t>
            </w:r>
            <w:proofErr w:type="spellEnd"/>
            <w:proofErr w:type="gramEnd"/>
            <w:r w:rsidRPr="00B37042">
              <w:rPr>
                <w:rFonts w:asciiTheme="majorHAnsi" w:eastAsia="Times New Roman" w:hAnsiTheme="majorHAnsi" w:cs="Calibri"/>
                <w:color w:val="000000"/>
                <w:lang w:eastAsia="en-GB"/>
              </w:rPr>
              <w:t xml:space="preserve"> degree</w:t>
            </w:r>
          </w:p>
        </w:tc>
        <w:tc>
          <w:tcPr>
            <w:tcW w:w="1569" w:type="pct"/>
            <w:noWrap/>
            <w:hideMark/>
          </w:tcPr>
          <w:p w14:paraId="17DA87BB" w14:textId="126000AF" w:rsidR="00B37042" w:rsidRPr="00B37042" w:rsidRDefault="001F1F5E"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10.38</w:t>
            </w:r>
            <w:r w:rsidR="00B37042" w:rsidRPr="00B37042">
              <w:rPr>
                <w:rFonts w:asciiTheme="majorHAnsi" w:eastAsia="Times New Roman" w:hAnsiTheme="majorHAnsi" w:cs="Calibri"/>
                <w:color w:val="000000"/>
                <w:lang w:eastAsia="en-GB"/>
              </w:rPr>
              <w:t>%</w:t>
            </w:r>
          </w:p>
        </w:tc>
      </w:tr>
      <w:tr w:rsidR="00B37042" w:rsidRPr="00B37042" w14:paraId="5B604B25" w14:textId="77777777" w:rsidTr="00B37042">
        <w:trPr>
          <w:trHeight w:val="288"/>
        </w:trPr>
        <w:tc>
          <w:tcPr>
            <w:tcW w:w="3431" w:type="pct"/>
            <w:noWrap/>
            <w:hideMark/>
          </w:tcPr>
          <w:p w14:paraId="513D380B"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Foundation degree</w:t>
            </w:r>
          </w:p>
        </w:tc>
        <w:tc>
          <w:tcPr>
            <w:tcW w:w="1569" w:type="pct"/>
            <w:noWrap/>
            <w:hideMark/>
          </w:tcPr>
          <w:p w14:paraId="349BE300" w14:textId="1086B1F2"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4.5</w:t>
            </w:r>
            <w:r w:rsidR="001F1F5E">
              <w:rPr>
                <w:rFonts w:asciiTheme="majorHAnsi" w:eastAsia="Times New Roman" w:hAnsiTheme="majorHAnsi" w:cs="Calibri"/>
                <w:color w:val="000000"/>
                <w:lang w:eastAsia="en-GB"/>
              </w:rPr>
              <w:t>3</w:t>
            </w:r>
            <w:r w:rsidR="00B37042" w:rsidRPr="00B37042">
              <w:rPr>
                <w:rFonts w:asciiTheme="majorHAnsi" w:eastAsia="Times New Roman" w:hAnsiTheme="majorHAnsi" w:cs="Calibri"/>
                <w:color w:val="000000"/>
                <w:lang w:eastAsia="en-GB"/>
              </w:rPr>
              <w:t>%</w:t>
            </w:r>
          </w:p>
        </w:tc>
      </w:tr>
      <w:tr w:rsidR="00B37042" w:rsidRPr="00B37042" w14:paraId="18C3F864" w14:textId="77777777" w:rsidTr="00B37042">
        <w:trPr>
          <w:trHeight w:val="288"/>
        </w:trPr>
        <w:tc>
          <w:tcPr>
            <w:tcW w:w="3431" w:type="pct"/>
            <w:noWrap/>
            <w:hideMark/>
          </w:tcPr>
          <w:p w14:paraId="182FA39C"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Other</w:t>
            </w:r>
          </w:p>
        </w:tc>
        <w:tc>
          <w:tcPr>
            <w:tcW w:w="1569" w:type="pct"/>
            <w:noWrap/>
            <w:hideMark/>
          </w:tcPr>
          <w:p w14:paraId="76A450FD" w14:textId="53E8C69A" w:rsidR="00B37042" w:rsidRPr="00B37042" w:rsidRDefault="00CD0488"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w:t>
            </w:r>
            <w:r w:rsidR="001F1F5E">
              <w:rPr>
                <w:rFonts w:asciiTheme="majorHAnsi" w:eastAsia="Times New Roman" w:hAnsiTheme="majorHAnsi" w:cs="Calibri"/>
                <w:color w:val="000000"/>
                <w:lang w:eastAsia="en-GB"/>
              </w:rPr>
              <w:t>18</w:t>
            </w:r>
            <w:r w:rsidR="00B37042" w:rsidRPr="00B37042">
              <w:rPr>
                <w:rFonts w:asciiTheme="majorHAnsi" w:eastAsia="Times New Roman" w:hAnsiTheme="majorHAnsi" w:cs="Calibri"/>
                <w:color w:val="000000"/>
                <w:lang w:eastAsia="en-GB"/>
              </w:rPr>
              <w:t>%</w:t>
            </w:r>
          </w:p>
        </w:tc>
      </w:tr>
      <w:tr w:rsidR="00B37042" w:rsidRPr="00B37042" w14:paraId="23739181" w14:textId="77777777" w:rsidTr="00B37042">
        <w:trPr>
          <w:trHeight w:val="288"/>
        </w:trPr>
        <w:tc>
          <w:tcPr>
            <w:tcW w:w="3431" w:type="pct"/>
            <w:noWrap/>
            <w:hideMark/>
          </w:tcPr>
          <w:p w14:paraId="311CDF2F"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Higher National Diploma (HND)</w:t>
            </w:r>
          </w:p>
        </w:tc>
        <w:tc>
          <w:tcPr>
            <w:tcW w:w="1569" w:type="pct"/>
            <w:noWrap/>
            <w:hideMark/>
          </w:tcPr>
          <w:p w14:paraId="3BAAD329" w14:textId="250B2BC3" w:rsidR="00B37042" w:rsidRPr="00B37042" w:rsidRDefault="007E4897" w:rsidP="00B3704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w:t>
            </w:r>
            <w:r w:rsidR="001F1F5E">
              <w:rPr>
                <w:rFonts w:asciiTheme="majorHAnsi" w:eastAsia="Times New Roman" w:hAnsiTheme="majorHAnsi" w:cs="Calibri"/>
                <w:color w:val="000000"/>
                <w:lang w:eastAsia="en-GB"/>
              </w:rPr>
              <w:t>78</w:t>
            </w:r>
            <w:r w:rsidR="00B37042" w:rsidRPr="00B37042">
              <w:rPr>
                <w:rFonts w:asciiTheme="majorHAnsi" w:eastAsia="Times New Roman" w:hAnsiTheme="majorHAnsi" w:cs="Calibri"/>
                <w:color w:val="000000"/>
                <w:lang w:eastAsia="en-GB"/>
              </w:rPr>
              <w:t>%</w:t>
            </w:r>
          </w:p>
        </w:tc>
      </w:tr>
      <w:tr w:rsidR="00B37042" w:rsidRPr="00B37042" w14:paraId="5061C186" w14:textId="77777777" w:rsidTr="00B37042">
        <w:trPr>
          <w:trHeight w:val="288"/>
        </w:trPr>
        <w:tc>
          <w:tcPr>
            <w:tcW w:w="3431" w:type="pct"/>
            <w:noWrap/>
            <w:hideMark/>
          </w:tcPr>
          <w:p w14:paraId="23A1D1E4" w14:textId="77777777"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Doctorate</w:t>
            </w:r>
          </w:p>
        </w:tc>
        <w:tc>
          <w:tcPr>
            <w:tcW w:w="1569" w:type="pct"/>
            <w:noWrap/>
            <w:hideMark/>
          </w:tcPr>
          <w:p w14:paraId="11FDCB02" w14:textId="589D1C86" w:rsidR="00B37042" w:rsidRPr="00B37042" w:rsidRDefault="00B37042" w:rsidP="00B37042">
            <w:pPr>
              <w:rPr>
                <w:rFonts w:asciiTheme="majorHAnsi" w:eastAsia="Times New Roman" w:hAnsiTheme="majorHAnsi" w:cs="Calibri"/>
                <w:color w:val="000000"/>
                <w:lang w:eastAsia="en-GB"/>
              </w:rPr>
            </w:pPr>
            <w:r w:rsidRPr="00B37042">
              <w:rPr>
                <w:rFonts w:asciiTheme="majorHAnsi" w:eastAsia="Times New Roman" w:hAnsiTheme="majorHAnsi" w:cs="Calibri"/>
                <w:color w:val="000000"/>
                <w:lang w:eastAsia="en-GB"/>
              </w:rPr>
              <w:t>1.</w:t>
            </w:r>
            <w:r w:rsidR="007E4897">
              <w:rPr>
                <w:rFonts w:asciiTheme="majorHAnsi" w:eastAsia="Times New Roman" w:hAnsiTheme="majorHAnsi" w:cs="Calibri"/>
                <w:color w:val="000000"/>
                <w:lang w:eastAsia="en-GB"/>
              </w:rPr>
              <w:t>93</w:t>
            </w:r>
            <w:r w:rsidRPr="00B37042">
              <w:rPr>
                <w:rFonts w:asciiTheme="majorHAnsi" w:eastAsia="Times New Roman" w:hAnsiTheme="majorHAnsi" w:cs="Calibri"/>
                <w:color w:val="000000"/>
                <w:lang w:eastAsia="en-GB"/>
              </w:rPr>
              <w:t>%</w:t>
            </w:r>
          </w:p>
        </w:tc>
      </w:tr>
    </w:tbl>
    <w:p w14:paraId="6E86B7B6" w14:textId="77777777" w:rsidR="00C41B50" w:rsidRDefault="00C41B50" w:rsidP="00AA7265">
      <w:pPr>
        <w:pStyle w:val="BodyText"/>
        <w:rPr>
          <w:rFonts w:asciiTheme="majorHAnsi" w:eastAsiaTheme="majorEastAsia" w:hAnsiTheme="majorHAnsi" w:cstheme="majorBidi"/>
          <w:b/>
          <w:bCs/>
          <w:color w:val="31006F" w:themeColor="accent2"/>
          <w:sz w:val="36"/>
          <w:szCs w:val="26"/>
        </w:rPr>
      </w:pPr>
    </w:p>
    <w:p w14:paraId="377A8C10"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3138B4D9"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02DCEABB"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74DDE26F"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09242E43"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07E0AA58"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2CD16717"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7A922F4D"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53918678"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1426FC92"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39BFFD90"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6994FA2D"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4665B5E8"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7309288B"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695CE84A"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6F7D4046" w14:textId="77777777" w:rsidR="001D4FC1" w:rsidRDefault="001D4FC1" w:rsidP="00AA7265">
      <w:pPr>
        <w:pStyle w:val="BodyText"/>
        <w:rPr>
          <w:rFonts w:asciiTheme="majorHAnsi" w:eastAsiaTheme="majorEastAsia" w:hAnsiTheme="majorHAnsi" w:cstheme="majorBidi"/>
          <w:b/>
          <w:bCs/>
          <w:color w:val="31006F" w:themeColor="accent2"/>
          <w:sz w:val="36"/>
          <w:szCs w:val="26"/>
        </w:rPr>
      </w:pPr>
    </w:p>
    <w:p w14:paraId="37F917FD" w14:textId="3B4F5BEF" w:rsidR="00AA7265" w:rsidRPr="00E931F2" w:rsidRDefault="00AA7265" w:rsidP="00AA7265">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Professional Roles</w:t>
      </w:r>
    </w:p>
    <w:p w14:paraId="688EBE77" w14:textId="77777777" w:rsidR="00A3040C" w:rsidRDefault="00A3040C" w:rsidP="00C41B50">
      <w:pPr>
        <w:pStyle w:val="BodyText"/>
      </w:pPr>
      <w:r w:rsidRPr="00A3040C">
        <w:t>67% of respondents worked as a practitioner in private practice, with 27% working in the third sector and 21% working as supervisors. many members work in multiple roles. </w:t>
      </w:r>
    </w:p>
    <w:p w14:paraId="207C2E0D" w14:textId="472DCBFF" w:rsidR="00C41B50" w:rsidRPr="004B088E" w:rsidRDefault="00C41B50" w:rsidP="00C41B50">
      <w:pPr>
        <w:pStyle w:val="BodyText"/>
        <w:rPr>
          <w:b/>
          <w:bCs/>
          <w:noProof/>
        </w:rPr>
      </w:pPr>
      <w:r w:rsidRPr="004B088E">
        <w:rPr>
          <w:b/>
          <w:bCs/>
          <w:noProof/>
        </w:rPr>
        <w:t xml:space="preserve">Table </w:t>
      </w:r>
      <w:r w:rsidR="00E03519">
        <w:rPr>
          <w:b/>
          <w:bCs/>
          <w:noProof/>
        </w:rPr>
        <w:t>4</w:t>
      </w:r>
      <w:r w:rsidRPr="004B088E">
        <w:rPr>
          <w:b/>
          <w:bCs/>
          <w:noProof/>
        </w:rPr>
        <w:t xml:space="preserve">: </w:t>
      </w:r>
      <w:r>
        <w:rPr>
          <w:b/>
          <w:bCs/>
          <w:noProof/>
        </w:rPr>
        <w:t>Professional roles</w:t>
      </w:r>
    </w:p>
    <w:p w14:paraId="1A0A8425" w14:textId="77777777" w:rsidR="00C41B50" w:rsidRDefault="00C41B50" w:rsidP="009C70C8">
      <w:pPr>
        <w:pStyle w:val="BodyText"/>
      </w:pPr>
    </w:p>
    <w:tbl>
      <w:tblPr>
        <w:tblStyle w:val="TableGrid"/>
        <w:tblW w:w="5000" w:type="pct"/>
        <w:tblLook w:val="04A0" w:firstRow="1" w:lastRow="0" w:firstColumn="1" w:lastColumn="0" w:noHBand="0" w:noVBand="1"/>
      </w:tblPr>
      <w:tblGrid>
        <w:gridCol w:w="6691"/>
        <w:gridCol w:w="2937"/>
      </w:tblGrid>
      <w:tr w:rsidR="00A06775" w14:paraId="19BADC9B" w14:textId="77777777" w:rsidTr="00D75F55">
        <w:trPr>
          <w:trHeight w:val="271"/>
        </w:trPr>
        <w:tc>
          <w:tcPr>
            <w:tcW w:w="3475" w:type="pct"/>
          </w:tcPr>
          <w:p w14:paraId="0471A40D" w14:textId="285B8CED" w:rsidR="00A06775" w:rsidRPr="004B088E" w:rsidRDefault="00A06775" w:rsidP="002A640A">
            <w:pPr>
              <w:pStyle w:val="BodyText"/>
              <w:rPr>
                <w:b/>
                <w:bCs/>
                <w:noProof/>
              </w:rPr>
            </w:pPr>
            <w:r>
              <w:rPr>
                <w:b/>
                <w:bCs/>
                <w:noProof/>
              </w:rPr>
              <w:t>Professional roles</w:t>
            </w:r>
          </w:p>
          <w:p w14:paraId="16AF3B1A" w14:textId="77777777" w:rsidR="00A06775" w:rsidRPr="009C6A9D" w:rsidRDefault="00A06775" w:rsidP="002A640A">
            <w:pPr>
              <w:rPr>
                <w:b/>
                <w:bCs/>
                <w:noProof/>
              </w:rPr>
            </w:pPr>
          </w:p>
        </w:tc>
        <w:tc>
          <w:tcPr>
            <w:tcW w:w="1525" w:type="pct"/>
          </w:tcPr>
          <w:p w14:paraId="5B7B06A5" w14:textId="77777777" w:rsidR="00A06775" w:rsidRPr="009C6A9D" w:rsidRDefault="00A06775" w:rsidP="002A640A">
            <w:pPr>
              <w:rPr>
                <w:b/>
                <w:bCs/>
                <w:noProof/>
              </w:rPr>
            </w:pPr>
            <w:r>
              <w:rPr>
                <w:b/>
                <w:bCs/>
                <w:noProof/>
              </w:rPr>
              <w:t>Workforce Mapping Survey percentage</w:t>
            </w:r>
          </w:p>
        </w:tc>
      </w:tr>
      <w:tr w:rsidR="00D75F55" w:rsidRPr="00D75F55" w14:paraId="0F851448" w14:textId="77777777" w:rsidTr="00D75F55">
        <w:trPr>
          <w:trHeight w:val="288"/>
        </w:trPr>
        <w:tc>
          <w:tcPr>
            <w:tcW w:w="3475" w:type="pct"/>
            <w:noWrap/>
            <w:hideMark/>
          </w:tcPr>
          <w:p w14:paraId="1F0D175A"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Practitioner in private practice</w:t>
            </w:r>
          </w:p>
        </w:tc>
        <w:tc>
          <w:tcPr>
            <w:tcW w:w="1525" w:type="pct"/>
            <w:noWrap/>
            <w:hideMark/>
          </w:tcPr>
          <w:p w14:paraId="5445A984" w14:textId="0258D7C1" w:rsidR="00D75F55" w:rsidRPr="00D75F55" w:rsidRDefault="00F528D8"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72.13</w:t>
            </w:r>
            <w:r w:rsidR="00D75F55" w:rsidRPr="00D75F55">
              <w:rPr>
                <w:rFonts w:ascii="Calibri" w:eastAsia="Times New Roman" w:hAnsi="Calibri" w:cs="Calibri"/>
                <w:color w:val="000000"/>
                <w:lang w:eastAsia="en-GB"/>
              </w:rPr>
              <w:t>%</w:t>
            </w:r>
          </w:p>
        </w:tc>
      </w:tr>
      <w:tr w:rsidR="00D75F55" w:rsidRPr="00D75F55" w14:paraId="000E5A24" w14:textId="77777777" w:rsidTr="00D75F55">
        <w:trPr>
          <w:trHeight w:val="288"/>
        </w:trPr>
        <w:tc>
          <w:tcPr>
            <w:tcW w:w="3475" w:type="pct"/>
            <w:noWrap/>
            <w:hideMark/>
          </w:tcPr>
          <w:p w14:paraId="7F67D423"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the third sector/charity sector/voluntary sector</w:t>
            </w:r>
          </w:p>
        </w:tc>
        <w:tc>
          <w:tcPr>
            <w:tcW w:w="1525" w:type="pct"/>
            <w:noWrap/>
            <w:hideMark/>
          </w:tcPr>
          <w:p w14:paraId="4D423594" w14:textId="40117914" w:rsidR="00D75F55" w:rsidRPr="00D75F55" w:rsidRDefault="00445924"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26.63</w:t>
            </w:r>
            <w:r w:rsidR="00D75F55" w:rsidRPr="00D75F55">
              <w:rPr>
                <w:rFonts w:ascii="Calibri" w:eastAsia="Times New Roman" w:hAnsi="Calibri" w:cs="Calibri"/>
                <w:color w:val="000000"/>
                <w:lang w:eastAsia="en-GB"/>
              </w:rPr>
              <w:t>%</w:t>
            </w:r>
          </w:p>
        </w:tc>
      </w:tr>
      <w:tr w:rsidR="00D75F55" w:rsidRPr="00D75F55" w14:paraId="1EB01BB7" w14:textId="77777777" w:rsidTr="00D75F55">
        <w:trPr>
          <w:trHeight w:val="288"/>
        </w:trPr>
        <w:tc>
          <w:tcPr>
            <w:tcW w:w="3475" w:type="pct"/>
            <w:noWrap/>
            <w:hideMark/>
          </w:tcPr>
          <w:p w14:paraId="41A4D5B8"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Supervisor</w:t>
            </w:r>
          </w:p>
        </w:tc>
        <w:tc>
          <w:tcPr>
            <w:tcW w:w="1525" w:type="pct"/>
            <w:noWrap/>
            <w:hideMark/>
          </w:tcPr>
          <w:p w14:paraId="6BA7C7FD" w14:textId="01FC34D6" w:rsidR="00D75F55" w:rsidRPr="00D75F55" w:rsidRDefault="00445924"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21.04</w:t>
            </w:r>
            <w:r w:rsidR="00D75F55" w:rsidRPr="00D75F55">
              <w:rPr>
                <w:rFonts w:ascii="Calibri" w:eastAsia="Times New Roman" w:hAnsi="Calibri" w:cs="Calibri"/>
                <w:color w:val="000000"/>
                <w:lang w:eastAsia="en-GB"/>
              </w:rPr>
              <w:t>%</w:t>
            </w:r>
          </w:p>
        </w:tc>
      </w:tr>
      <w:tr w:rsidR="00D75F55" w:rsidRPr="00D75F55" w14:paraId="5DF5B86D" w14:textId="77777777" w:rsidTr="00D75F55">
        <w:trPr>
          <w:trHeight w:val="288"/>
        </w:trPr>
        <w:tc>
          <w:tcPr>
            <w:tcW w:w="3475" w:type="pct"/>
            <w:noWrap/>
            <w:hideMark/>
          </w:tcPr>
          <w:p w14:paraId="6523F70C"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an Employee Assistance Programme/workplace setting</w:t>
            </w:r>
          </w:p>
        </w:tc>
        <w:tc>
          <w:tcPr>
            <w:tcW w:w="1525" w:type="pct"/>
            <w:noWrap/>
            <w:hideMark/>
          </w:tcPr>
          <w:p w14:paraId="2FC970B6" w14:textId="5B1915B2" w:rsidR="00D75F55" w:rsidRPr="00D75F55" w:rsidRDefault="00B5697E"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8.02</w:t>
            </w:r>
            <w:r w:rsidR="00D75F55" w:rsidRPr="00D75F55">
              <w:rPr>
                <w:rFonts w:ascii="Calibri" w:eastAsia="Times New Roman" w:hAnsi="Calibri" w:cs="Calibri"/>
                <w:color w:val="000000"/>
                <w:lang w:eastAsia="en-GB"/>
              </w:rPr>
              <w:t>%</w:t>
            </w:r>
          </w:p>
        </w:tc>
      </w:tr>
      <w:tr w:rsidR="00D75F55" w:rsidRPr="00D75F55" w14:paraId="0DC653B8" w14:textId="77777777" w:rsidTr="00D75F55">
        <w:trPr>
          <w:trHeight w:val="288"/>
        </w:trPr>
        <w:tc>
          <w:tcPr>
            <w:tcW w:w="3475" w:type="pct"/>
            <w:noWrap/>
            <w:hideMark/>
          </w:tcPr>
          <w:p w14:paraId="36B12449"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healthcare setting</w:t>
            </w:r>
          </w:p>
        </w:tc>
        <w:tc>
          <w:tcPr>
            <w:tcW w:w="1525" w:type="pct"/>
            <w:noWrap/>
            <w:hideMark/>
          </w:tcPr>
          <w:p w14:paraId="44C9D392" w14:textId="09B66BEF" w:rsidR="00D75F55" w:rsidRPr="00D75F55" w:rsidRDefault="00E13295"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6.31</w:t>
            </w:r>
            <w:r w:rsidR="00D75F55" w:rsidRPr="00D75F55">
              <w:rPr>
                <w:rFonts w:ascii="Calibri" w:eastAsia="Times New Roman" w:hAnsi="Calibri" w:cs="Calibri"/>
                <w:color w:val="000000"/>
                <w:lang w:eastAsia="en-GB"/>
              </w:rPr>
              <w:t>%</w:t>
            </w:r>
          </w:p>
        </w:tc>
      </w:tr>
      <w:tr w:rsidR="00D75F55" w:rsidRPr="00D75F55" w14:paraId="60A0B6AC" w14:textId="77777777" w:rsidTr="00D75F55">
        <w:trPr>
          <w:trHeight w:val="288"/>
        </w:trPr>
        <w:tc>
          <w:tcPr>
            <w:tcW w:w="3475" w:type="pct"/>
            <w:noWrap/>
            <w:hideMark/>
          </w:tcPr>
          <w:p w14:paraId="0C867EDB"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Trainer/Tutor</w:t>
            </w:r>
          </w:p>
        </w:tc>
        <w:tc>
          <w:tcPr>
            <w:tcW w:w="1525" w:type="pct"/>
            <w:noWrap/>
            <w:hideMark/>
          </w:tcPr>
          <w:p w14:paraId="1EBD5633" w14:textId="4D45CCF2" w:rsidR="00D75F55" w:rsidRPr="00D75F55" w:rsidRDefault="00B5697E"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6.81</w:t>
            </w:r>
            <w:r w:rsidR="00D75F55" w:rsidRPr="00D75F55">
              <w:rPr>
                <w:rFonts w:ascii="Calibri" w:eastAsia="Times New Roman" w:hAnsi="Calibri" w:cs="Calibri"/>
                <w:color w:val="000000"/>
                <w:lang w:eastAsia="en-GB"/>
              </w:rPr>
              <w:t>%</w:t>
            </w:r>
          </w:p>
        </w:tc>
      </w:tr>
      <w:tr w:rsidR="00D75F55" w:rsidRPr="00D75F55" w14:paraId="72B139FB" w14:textId="77777777" w:rsidTr="00D75F55">
        <w:trPr>
          <w:trHeight w:val="288"/>
        </w:trPr>
        <w:tc>
          <w:tcPr>
            <w:tcW w:w="3475" w:type="pct"/>
            <w:noWrap/>
            <w:hideMark/>
          </w:tcPr>
          <w:p w14:paraId="4257F966"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secondary school</w:t>
            </w:r>
          </w:p>
        </w:tc>
        <w:tc>
          <w:tcPr>
            <w:tcW w:w="1525" w:type="pct"/>
            <w:noWrap/>
            <w:hideMark/>
          </w:tcPr>
          <w:p w14:paraId="44079A24" w14:textId="04439EF1" w:rsidR="00D75F55" w:rsidRPr="00D75F55" w:rsidRDefault="00E13295"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6.28</w:t>
            </w:r>
            <w:r w:rsidR="00D75F55" w:rsidRPr="00D75F55">
              <w:rPr>
                <w:rFonts w:ascii="Calibri" w:eastAsia="Times New Roman" w:hAnsi="Calibri" w:cs="Calibri"/>
                <w:color w:val="000000"/>
                <w:lang w:eastAsia="en-GB"/>
              </w:rPr>
              <w:t>%</w:t>
            </w:r>
          </w:p>
        </w:tc>
      </w:tr>
      <w:tr w:rsidR="00D75F55" w:rsidRPr="00D75F55" w14:paraId="66A09098" w14:textId="77777777" w:rsidTr="00D75F55">
        <w:trPr>
          <w:trHeight w:val="288"/>
        </w:trPr>
        <w:tc>
          <w:tcPr>
            <w:tcW w:w="3475" w:type="pct"/>
            <w:noWrap/>
            <w:hideMark/>
          </w:tcPr>
          <w:p w14:paraId="140A4966" w14:textId="18A413D4"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NHS </w:t>
            </w:r>
            <w:r w:rsidR="00755772">
              <w:rPr>
                <w:rFonts w:ascii="Calibri" w:eastAsia="Times New Roman" w:hAnsi="Calibri" w:cs="Calibri"/>
                <w:color w:val="000000"/>
                <w:lang w:eastAsia="en-GB"/>
              </w:rPr>
              <w:t>Talking Therapies</w:t>
            </w:r>
          </w:p>
        </w:tc>
        <w:tc>
          <w:tcPr>
            <w:tcW w:w="1525" w:type="pct"/>
            <w:noWrap/>
            <w:hideMark/>
          </w:tcPr>
          <w:p w14:paraId="69AE813A" w14:textId="60B57A9A" w:rsidR="00D75F55" w:rsidRPr="00D75F55" w:rsidRDefault="00B3193E"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4.32</w:t>
            </w:r>
            <w:r w:rsidR="00D75F55" w:rsidRPr="00D75F55">
              <w:rPr>
                <w:rFonts w:ascii="Calibri" w:eastAsia="Times New Roman" w:hAnsi="Calibri" w:cs="Calibri"/>
                <w:color w:val="000000"/>
                <w:lang w:eastAsia="en-GB"/>
              </w:rPr>
              <w:t>%</w:t>
            </w:r>
          </w:p>
        </w:tc>
      </w:tr>
      <w:tr w:rsidR="00755772" w:rsidRPr="00D75F55" w14:paraId="7A00AF03" w14:textId="77777777" w:rsidTr="00D75F55">
        <w:trPr>
          <w:trHeight w:val="288"/>
        </w:trPr>
        <w:tc>
          <w:tcPr>
            <w:tcW w:w="3475" w:type="pct"/>
            <w:noWrap/>
          </w:tcPr>
          <w:p w14:paraId="558B1B5F" w14:textId="449E7ECD" w:rsidR="00755772" w:rsidRPr="00D75F55" w:rsidRDefault="00755772" w:rsidP="00D75F55">
            <w:pPr>
              <w:rPr>
                <w:rFonts w:ascii="Calibri" w:eastAsia="Times New Roman" w:hAnsi="Calibri" w:cs="Calibri"/>
                <w:color w:val="000000"/>
                <w:lang w:eastAsia="en-GB"/>
              </w:rPr>
            </w:pPr>
            <w:r>
              <w:rPr>
                <w:rFonts w:ascii="Calibri" w:eastAsia="Times New Roman" w:hAnsi="Calibri" w:cs="Calibri"/>
                <w:color w:val="000000"/>
                <w:lang w:eastAsia="en-GB"/>
              </w:rPr>
              <w:t>Practitioner in an agency/organisation</w:t>
            </w:r>
          </w:p>
        </w:tc>
        <w:tc>
          <w:tcPr>
            <w:tcW w:w="1525" w:type="pct"/>
            <w:noWrap/>
          </w:tcPr>
          <w:p w14:paraId="54A5DC49" w14:textId="58C539DE" w:rsidR="00755772" w:rsidRDefault="00755772"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5.49%</w:t>
            </w:r>
          </w:p>
        </w:tc>
      </w:tr>
      <w:tr w:rsidR="00D75F55" w:rsidRPr="00D75F55" w14:paraId="38666941" w14:textId="77777777" w:rsidTr="00D75F55">
        <w:trPr>
          <w:trHeight w:val="288"/>
        </w:trPr>
        <w:tc>
          <w:tcPr>
            <w:tcW w:w="3475" w:type="pct"/>
            <w:noWrap/>
            <w:hideMark/>
          </w:tcPr>
          <w:p w14:paraId="38D80118"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primary school</w:t>
            </w:r>
          </w:p>
        </w:tc>
        <w:tc>
          <w:tcPr>
            <w:tcW w:w="1525" w:type="pct"/>
            <w:noWrap/>
            <w:hideMark/>
          </w:tcPr>
          <w:p w14:paraId="51AEC272" w14:textId="48009E11"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4.</w:t>
            </w:r>
            <w:r w:rsidR="00B3193E">
              <w:rPr>
                <w:rFonts w:ascii="Calibri" w:eastAsia="Times New Roman" w:hAnsi="Calibri" w:cs="Calibri"/>
                <w:color w:val="000000"/>
                <w:lang w:eastAsia="en-GB"/>
              </w:rPr>
              <w:t>22</w:t>
            </w:r>
            <w:r w:rsidR="00D75F55" w:rsidRPr="00D75F55">
              <w:rPr>
                <w:rFonts w:ascii="Calibri" w:eastAsia="Times New Roman" w:hAnsi="Calibri" w:cs="Calibri"/>
                <w:color w:val="000000"/>
                <w:lang w:eastAsia="en-GB"/>
              </w:rPr>
              <w:t>%</w:t>
            </w:r>
          </w:p>
        </w:tc>
      </w:tr>
      <w:tr w:rsidR="00D75F55" w:rsidRPr="00D75F55" w14:paraId="3EFB11DF" w14:textId="77777777" w:rsidTr="00D75F55">
        <w:trPr>
          <w:trHeight w:val="288"/>
        </w:trPr>
        <w:tc>
          <w:tcPr>
            <w:tcW w:w="3475" w:type="pct"/>
            <w:noWrap/>
            <w:hideMark/>
          </w:tcPr>
          <w:p w14:paraId="4BE0B449"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Service manager/Clinical lead</w:t>
            </w:r>
          </w:p>
        </w:tc>
        <w:tc>
          <w:tcPr>
            <w:tcW w:w="1525" w:type="pct"/>
            <w:noWrap/>
            <w:hideMark/>
          </w:tcPr>
          <w:p w14:paraId="06712DEA" w14:textId="4135B3E4" w:rsidR="00D75F55" w:rsidRPr="00D75F55" w:rsidRDefault="00376009"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2.96</w:t>
            </w:r>
            <w:r w:rsidR="00D75F55" w:rsidRPr="00D75F55">
              <w:rPr>
                <w:rFonts w:ascii="Calibri" w:eastAsia="Times New Roman" w:hAnsi="Calibri" w:cs="Calibri"/>
                <w:color w:val="000000"/>
                <w:lang w:eastAsia="en-GB"/>
              </w:rPr>
              <w:t>%</w:t>
            </w:r>
          </w:p>
        </w:tc>
      </w:tr>
      <w:tr w:rsidR="00D75F55" w:rsidRPr="00D75F55" w14:paraId="5E1D1F97" w14:textId="77777777" w:rsidTr="00D75F55">
        <w:trPr>
          <w:trHeight w:val="288"/>
        </w:trPr>
        <w:tc>
          <w:tcPr>
            <w:tcW w:w="3475" w:type="pct"/>
            <w:noWrap/>
            <w:hideMark/>
          </w:tcPr>
          <w:p w14:paraId="40E963C4"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university/Higher Education institution</w:t>
            </w:r>
          </w:p>
        </w:tc>
        <w:tc>
          <w:tcPr>
            <w:tcW w:w="1525" w:type="pct"/>
            <w:noWrap/>
            <w:hideMark/>
          </w:tcPr>
          <w:p w14:paraId="54A5222E" w14:textId="43B6AAED" w:rsidR="00D75F55" w:rsidRPr="00D75F55" w:rsidRDefault="00551653"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B3193E">
              <w:rPr>
                <w:rFonts w:ascii="Calibri" w:eastAsia="Times New Roman" w:hAnsi="Calibri" w:cs="Calibri"/>
                <w:color w:val="000000"/>
                <w:lang w:eastAsia="en-GB"/>
              </w:rPr>
              <w:t>13</w:t>
            </w:r>
            <w:r w:rsidR="00D75F55" w:rsidRPr="00D75F55">
              <w:rPr>
                <w:rFonts w:ascii="Calibri" w:eastAsia="Times New Roman" w:hAnsi="Calibri" w:cs="Calibri"/>
                <w:color w:val="000000"/>
                <w:lang w:eastAsia="en-GB"/>
              </w:rPr>
              <w:t>%</w:t>
            </w:r>
          </w:p>
        </w:tc>
      </w:tr>
      <w:tr w:rsidR="00D75F55" w:rsidRPr="00D75F55" w14:paraId="76295169" w14:textId="77777777" w:rsidTr="00D75F55">
        <w:trPr>
          <w:trHeight w:val="288"/>
        </w:trPr>
        <w:tc>
          <w:tcPr>
            <w:tcW w:w="3475" w:type="pct"/>
            <w:noWrap/>
            <w:hideMark/>
          </w:tcPr>
          <w:p w14:paraId="1E51DEBE"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Other non-counselling/psychotherapy role (you will be asked to specify)</w:t>
            </w:r>
          </w:p>
        </w:tc>
        <w:tc>
          <w:tcPr>
            <w:tcW w:w="1525" w:type="pct"/>
            <w:noWrap/>
            <w:hideMark/>
          </w:tcPr>
          <w:p w14:paraId="45DACE4E" w14:textId="311B186D"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4.44</w:t>
            </w:r>
            <w:r w:rsidR="00D75F55" w:rsidRPr="00D75F55">
              <w:rPr>
                <w:rFonts w:ascii="Calibri" w:eastAsia="Times New Roman" w:hAnsi="Calibri" w:cs="Calibri"/>
                <w:color w:val="000000"/>
                <w:lang w:eastAsia="en-GB"/>
              </w:rPr>
              <w:t>%</w:t>
            </w:r>
          </w:p>
        </w:tc>
      </w:tr>
      <w:tr w:rsidR="00D75F55" w:rsidRPr="00D75F55" w14:paraId="4F7F6C67" w14:textId="77777777" w:rsidTr="00D75F55">
        <w:trPr>
          <w:trHeight w:val="288"/>
        </w:trPr>
        <w:tc>
          <w:tcPr>
            <w:tcW w:w="3475" w:type="pct"/>
            <w:noWrap/>
            <w:hideMark/>
          </w:tcPr>
          <w:p w14:paraId="2A252980"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private group practice</w:t>
            </w:r>
          </w:p>
        </w:tc>
        <w:tc>
          <w:tcPr>
            <w:tcW w:w="1525" w:type="pct"/>
            <w:noWrap/>
            <w:hideMark/>
          </w:tcPr>
          <w:p w14:paraId="6EB5CCD1" w14:textId="0C7AB4C3"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w:t>
            </w:r>
            <w:r w:rsidR="00376009">
              <w:rPr>
                <w:rFonts w:ascii="Calibri" w:eastAsia="Times New Roman" w:hAnsi="Calibri" w:cs="Calibri"/>
                <w:color w:val="000000"/>
                <w:lang w:eastAsia="en-GB"/>
              </w:rPr>
              <w:t>58</w:t>
            </w:r>
            <w:r w:rsidR="00D75F55" w:rsidRPr="00D75F55">
              <w:rPr>
                <w:rFonts w:ascii="Calibri" w:eastAsia="Times New Roman" w:hAnsi="Calibri" w:cs="Calibri"/>
                <w:color w:val="000000"/>
                <w:lang w:eastAsia="en-GB"/>
              </w:rPr>
              <w:t>%</w:t>
            </w:r>
          </w:p>
        </w:tc>
      </w:tr>
      <w:tr w:rsidR="00D75F55" w:rsidRPr="00D75F55" w14:paraId="770BF594" w14:textId="77777777" w:rsidTr="00D75F55">
        <w:trPr>
          <w:trHeight w:val="288"/>
        </w:trPr>
        <w:tc>
          <w:tcPr>
            <w:tcW w:w="3475" w:type="pct"/>
            <w:noWrap/>
            <w:hideMark/>
          </w:tcPr>
          <w:p w14:paraId="666E9CA2"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Other counselling/psychotherapy role (you will be asked to specify)</w:t>
            </w:r>
          </w:p>
        </w:tc>
        <w:tc>
          <w:tcPr>
            <w:tcW w:w="1525" w:type="pct"/>
            <w:noWrap/>
            <w:hideMark/>
          </w:tcPr>
          <w:p w14:paraId="3C7BDE4D" w14:textId="5AA3752D" w:rsidR="00D75F55" w:rsidRPr="00D75F55" w:rsidRDefault="00376009"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2.81</w:t>
            </w:r>
            <w:r w:rsidR="00D75F55" w:rsidRPr="00D75F55">
              <w:rPr>
                <w:rFonts w:ascii="Calibri" w:eastAsia="Times New Roman" w:hAnsi="Calibri" w:cs="Calibri"/>
                <w:color w:val="000000"/>
                <w:lang w:eastAsia="en-GB"/>
              </w:rPr>
              <w:t>%</w:t>
            </w:r>
          </w:p>
        </w:tc>
      </w:tr>
      <w:tr w:rsidR="00D75F55" w:rsidRPr="00D75F55" w14:paraId="6D0755EA" w14:textId="77777777" w:rsidTr="00D75F55">
        <w:trPr>
          <w:trHeight w:val="288"/>
        </w:trPr>
        <w:tc>
          <w:tcPr>
            <w:tcW w:w="3475" w:type="pct"/>
            <w:noWrap/>
            <w:hideMark/>
          </w:tcPr>
          <w:p w14:paraId="20D92528"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Coach</w:t>
            </w:r>
          </w:p>
        </w:tc>
        <w:tc>
          <w:tcPr>
            <w:tcW w:w="1525" w:type="pct"/>
            <w:noWrap/>
            <w:hideMark/>
          </w:tcPr>
          <w:p w14:paraId="457322B5" w14:textId="1F18997A"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3.56</w:t>
            </w:r>
            <w:r w:rsidR="00D75F55" w:rsidRPr="00D75F55">
              <w:rPr>
                <w:rFonts w:ascii="Calibri" w:eastAsia="Times New Roman" w:hAnsi="Calibri" w:cs="Calibri"/>
                <w:color w:val="000000"/>
                <w:lang w:eastAsia="en-GB"/>
              </w:rPr>
              <w:t>%</w:t>
            </w:r>
          </w:p>
        </w:tc>
      </w:tr>
      <w:tr w:rsidR="00D75F55" w:rsidRPr="00D75F55" w14:paraId="1D2933BA" w14:textId="77777777" w:rsidTr="00D75F55">
        <w:trPr>
          <w:trHeight w:val="288"/>
        </w:trPr>
        <w:tc>
          <w:tcPr>
            <w:tcW w:w="3475" w:type="pct"/>
            <w:noWrap/>
            <w:hideMark/>
          </w:tcPr>
          <w:p w14:paraId="4D77DBE2"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a college/Further Education institution</w:t>
            </w:r>
          </w:p>
        </w:tc>
        <w:tc>
          <w:tcPr>
            <w:tcW w:w="1525" w:type="pct"/>
            <w:noWrap/>
            <w:hideMark/>
          </w:tcPr>
          <w:p w14:paraId="0A3B39E8" w14:textId="3334B60A" w:rsidR="00D75F55" w:rsidRPr="00D75F55" w:rsidRDefault="00376009"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3.85</w:t>
            </w:r>
            <w:r w:rsidR="00D75F55" w:rsidRPr="00D75F55">
              <w:rPr>
                <w:rFonts w:ascii="Calibri" w:eastAsia="Times New Roman" w:hAnsi="Calibri" w:cs="Calibri"/>
                <w:color w:val="000000"/>
                <w:lang w:eastAsia="en-GB"/>
              </w:rPr>
              <w:t>%</w:t>
            </w:r>
          </w:p>
        </w:tc>
      </w:tr>
      <w:tr w:rsidR="00D75F55" w:rsidRPr="00D75F55" w14:paraId="4191CE3F" w14:textId="77777777" w:rsidTr="00D75F55">
        <w:trPr>
          <w:trHeight w:val="288"/>
        </w:trPr>
        <w:tc>
          <w:tcPr>
            <w:tcW w:w="3475" w:type="pct"/>
            <w:noWrap/>
            <w:hideMark/>
          </w:tcPr>
          <w:p w14:paraId="50B2341F"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Academic</w:t>
            </w:r>
          </w:p>
        </w:tc>
        <w:tc>
          <w:tcPr>
            <w:tcW w:w="1525" w:type="pct"/>
            <w:noWrap/>
            <w:hideMark/>
          </w:tcPr>
          <w:p w14:paraId="5F866306" w14:textId="0C7BEE29" w:rsidR="00D75F55" w:rsidRPr="00D75F55" w:rsidRDefault="00B95881"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1.99</w:t>
            </w:r>
            <w:r w:rsidR="00D75F55" w:rsidRPr="00D75F55">
              <w:rPr>
                <w:rFonts w:ascii="Calibri" w:eastAsia="Times New Roman" w:hAnsi="Calibri" w:cs="Calibri"/>
                <w:color w:val="000000"/>
                <w:lang w:eastAsia="en-GB"/>
              </w:rPr>
              <w:t>%</w:t>
            </w:r>
          </w:p>
        </w:tc>
      </w:tr>
      <w:tr w:rsidR="00D75F55" w:rsidRPr="00D75F55" w14:paraId="0889D58F" w14:textId="77777777" w:rsidTr="00D75F55">
        <w:trPr>
          <w:trHeight w:val="288"/>
        </w:trPr>
        <w:tc>
          <w:tcPr>
            <w:tcW w:w="3475" w:type="pct"/>
            <w:noWrap/>
            <w:hideMark/>
          </w:tcPr>
          <w:p w14:paraId="11A22466"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Researcher</w:t>
            </w:r>
          </w:p>
        </w:tc>
        <w:tc>
          <w:tcPr>
            <w:tcW w:w="1525" w:type="pct"/>
            <w:noWrap/>
            <w:hideMark/>
          </w:tcPr>
          <w:p w14:paraId="145B2AE8" w14:textId="1E79DC7C" w:rsidR="00D75F55" w:rsidRPr="00D75F55" w:rsidRDefault="003E6427"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1.9</w:t>
            </w:r>
            <w:r w:rsidR="00B95881">
              <w:rPr>
                <w:rFonts w:ascii="Calibri" w:eastAsia="Times New Roman" w:hAnsi="Calibri" w:cs="Calibri"/>
                <w:color w:val="000000"/>
                <w:lang w:eastAsia="en-GB"/>
              </w:rPr>
              <w:t>4</w:t>
            </w:r>
            <w:r w:rsidR="00D75F55" w:rsidRPr="00D75F55">
              <w:rPr>
                <w:rFonts w:ascii="Calibri" w:eastAsia="Times New Roman" w:hAnsi="Calibri" w:cs="Calibri"/>
                <w:color w:val="000000"/>
                <w:lang w:eastAsia="en-GB"/>
              </w:rPr>
              <w:t>%</w:t>
            </w:r>
          </w:p>
        </w:tc>
      </w:tr>
      <w:tr w:rsidR="00D75F55" w:rsidRPr="00D75F55" w14:paraId="147BA79E" w14:textId="77777777" w:rsidTr="00D75F55">
        <w:trPr>
          <w:trHeight w:val="288"/>
        </w:trPr>
        <w:tc>
          <w:tcPr>
            <w:tcW w:w="3475" w:type="pct"/>
            <w:noWrap/>
            <w:hideMark/>
          </w:tcPr>
          <w:p w14:paraId="2AD2892C"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Practitioner in </w:t>
            </w:r>
            <w:proofErr w:type="gramStart"/>
            <w:r w:rsidRPr="00D75F55">
              <w:rPr>
                <w:rFonts w:ascii="Calibri" w:eastAsia="Times New Roman" w:hAnsi="Calibri" w:cs="Calibri"/>
                <w:color w:val="000000"/>
                <w:lang w:eastAsia="en-GB"/>
              </w:rPr>
              <w:t>a</w:t>
            </w:r>
            <w:proofErr w:type="gramEnd"/>
            <w:r w:rsidRPr="00D75F55">
              <w:rPr>
                <w:rFonts w:ascii="Calibri" w:eastAsia="Times New Roman" w:hAnsi="Calibri" w:cs="Calibri"/>
                <w:color w:val="000000"/>
                <w:lang w:eastAsia="en-GB"/>
              </w:rPr>
              <w:t xml:space="preserve"> other non-private setting (you will be asked to specify)</w:t>
            </w:r>
          </w:p>
        </w:tc>
        <w:tc>
          <w:tcPr>
            <w:tcW w:w="1525" w:type="pct"/>
            <w:noWrap/>
            <w:hideMark/>
          </w:tcPr>
          <w:p w14:paraId="69E515A1" w14:textId="63743729" w:rsidR="00D75F55" w:rsidRPr="00D75F55" w:rsidRDefault="00B95881"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1.14</w:t>
            </w:r>
            <w:r w:rsidR="00D75F55" w:rsidRPr="00D75F55">
              <w:rPr>
                <w:rFonts w:ascii="Calibri" w:eastAsia="Times New Roman" w:hAnsi="Calibri" w:cs="Calibri"/>
                <w:color w:val="000000"/>
                <w:lang w:eastAsia="en-GB"/>
              </w:rPr>
              <w:t>%</w:t>
            </w:r>
          </w:p>
        </w:tc>
      </w:tr>
      <w:tr w:rsidR="00D75F55" w:rsidRPr="00D75F55" w14:paraId="6110457E" w14:textId="77777777" w:rsidTr="00D75F55">
        <w:trPr>
          <w:trHeight w:val="288"/>
        </w:trPr>
        <w:tc>
          <w:tcPr>
            <w:tcW w:w="3475" w:type="pct"/>
            <w:noWrap/>
            <w:hideMark/>
          </w:tcPr>
          <w:p w14:paraId="66DA21FA"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Not currently working</w:t>
            </w:r>
          </w:p>
        </w:tc>
        <w:tc>
          <w:tcPr>
            <w:tcW w:w="1525" w:type="pct"/>
            <w:noWrap/>
            <w:hideMark/>
          </w:tcPr>
          <w:p w14:paraId="59565BE5" w14:textId="63D91C28" w:rsidR="00D75F55" w:rsidRPr="00D75F55" w:rsidRDefault="00B95881"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1.42</w:t>
            </w:r>
            <w:r w:rsidR="00D75F55" w:rsidRPr="00D75F55">
              <w:rPr>
                <w:rFonts w:ascii="Calibri" w:eastAsia="Times New Roman" w:hAnsi="Calibri" w:cs="Calibri"/>
                <w:color w:val="000000"/>
                <w:lang w:eastAsia="en-GB"/>
              </w:rPr>
              <w:t>%</w:t>
            </w:r>
          </w:p>
        </w:tc>
      </w:tr>
      <w:tr w:rsidR="00D75F55" w:rsidRPr="00D75F55" w14:paraId="16088CC8" w14:textId="77777777" w:rsidTr="00D75F55">
        <w:trPr>
          <w:trHeight w:val="288"/>
        </w:trPr>
        <w:tc>
          <w:tcPr>
            <w:tcW w:w="3475" w:type="pct"/>
            <w:noWrap/>
            <w:hideMark/>
          </w:tcPr>
          <w:p w14:paraId="4846E2CB" w14:textId="77777777" w:rsidR="00D75F55" w:rsidRPr="00D75F55" w:rsidRDefault="00D75F55" w:rsidP="00D75F55">
            <w:pPr>
              <w:rPr>
                <w:rFonts w:ascii="Calibri" w:eastAsia="Times New Roman" w:hAnsi="Calibri" w:cs="Calibri"/>
                <w:color w:val="000000"/>
                <w:lang w:eastAsia="en-GB"/>
              </w:rPr>
            </w:pPr>
            <w:r w:rsidRPr="00D75F55">
              <w:rPr>
                <w:rFonts w:ascii="Calibri" w:eastAsia="Times New Roman" w:hAnsi="Calibri" w:cs="Calibri"/>
                <w:color w:val="000000"/>
                <w:lang w:eastAsia="en-GB"/>
              </w:rPr>
              <w:t xml:space="preserve"> Retired</w:t>
            </w:r>
          </w:p>
        </w:tc>
        <w:tc>
          <w:tcPr>
            <w:tcW w:w="1525" w:type="pct"/>
            <w:noWrap/>
            <w:hideMark/>
          </w:tcPr>
          <w:p w14:paraId="62774E6D" w14:textId="3942E84C" w:rsidR="00D75F55" w:rsidRPr="00D75F55" w:rsidRDefault="001D4FC1" w:rsidP="00D75F55">
            <w:pPr>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B95881">
              <w:rPr>
                <w:rFonts w:ascii="Calibri" w:eastAsia="Times New Roman" w:hAnsi="Calibri" w:cs="Calibri"/>
                <w:color w:val="000000"/>
                <w:lang w:eastAsia="en-GB"/>
              </w:rPr>
              <w:t>19</w:t>
            </w:r>
            <w:r w:rsidR="00D75F55" w:rsidRPr="00D75F55">
              <w:rPr>
                <w:rFonts w:ascii="Calibri" w:eastAsia="Times New Roman" w:hAnsi="Calibri" w:cs="Calibri"/>
                <w:color w:val="000000"/>
                <w:lang w:eastAsia="en-GB"/>
              </w:rPr>
              <w:t>%</w:t>
            </w:r>
          </w:p>
        </w:tc>
      </w:tr>
    </w:tbl>
    <w:p w14:paraId="6CEEC3B8" w14:textId="77777777" w:rsidR="00A06775" w:rsidRPr="00585B40" w:rsidRDefault="00A06775" w:rsidP="009C70C8">
      <w:pPr>
        <w:pStyle w:val="BodyText"/>
      </w:pPr>
    </w:p>
    <w:p w14:paraId="518B755F" w14:textId="77777777" w:rsidR="005A046D" w:rsidRPr="00585B40" w:rsidRDefault="005A046D" w:rsidP="005A046D">
      <w:pPr>
        <w:pStyle w:val="BodyText"/>
      </w:pPr>
    </w:p>
    <w:p w14:paraId="6E22AA28" w14:textId="77777777" w:rsidR="005A046D" w:rsidRPr="00585B40" w:rsidRDefault="005A046D" w:rsidP="005A046D">
      <w:pPr>
        <w:pStyle w:val="BodyText"/>
      </w:pPr>
    </w:p>
    <w:p w14:paraId="42E6A8E8" w14:textId="77777777" w:rsidR="005A046D" w:rsidRPr="00585B40" w:rsidRDefault="005A046D" w:rsidP="005A046D">
      <w:pPr>
        <w:pStyle w:val="BodyText"/>
      </w:pPr>
    </w:p>
    <w:p w14:paraId="25EAA72C" w14:textId="77777777" w:rsidR="005A046D" w:rsidRPr="00585B40" w:rsidRDefault="005A046D" w:rsidP="005A046D">
      <w:pPr>
        <w:pStyle w:val="BodyText"/>
      </w:pPr>
    </w:p>
    <w:p w14:paraId="361C0320" w14:textId="77777777" w:rsidR="005A046D" w:rsidRDefault="005A046D" w:rsidP="005A046D">
      <w:pPr>
        <w:pStyle w:val="BodyText"/>
      </w:pPr>
    </w:p>
    <w:p w14:paraId="2EE737A4" w14:textId="77777777" w:rsidR="001D4FC1" w:rsidRPr="00585B40" w:rsidRDefault="001D4FC1" w:rsidP="005A046D">
      <w:pPr>
        <w:pStyle w:val="BodyText"/>
      </w:pPr>
    </w:p>
    <w:p w14:paraId="3935363D" w14:textId="77777777" w:rsidR="00333937" w:rsidRDefault="00333937" w:rsidP="005A046D">
      <w:pPr>
        <w:pStyle w:val="BodyText"/>
        <w:rPr>
          <w:b/>
          <w:bCs/>
          <w:noProof/>
        </w:rPr>
      </w:pPr>
    </w:p>
    <w:p w14:paraId="5C4590F1" w14:textId="77777777" w:rsidR="0050713F" w:rsidRDefault="0050713F" w:rsidP="005A046D">
      <w:pPr>
        <w:pStyle w:val="BodyText"/>
        <w:rPr>
          <w:b/>
          <w:bCs/>
          <w:noProof/>
        </w:rPr>
      </w:pPr>
    </w:p>
    <w:p w14:paraId="7E0A9E2B" w14:textId="77777777" w:rsidR="0050713F" w:rsidRDefault="0050713F" w:rsidP="005A046D">
      <w:pPr>
        <w:pStyle w:val="BodyText"/>
      </w:pPr>
    </w:p>
    <w:p w14:paraId="2DD724BD" w14:textId="7A181D74" w:rsidR="00333937" w:rsidRPr="00E931F2" w:rsidRDefault="00333937" w:rsidP="00333937">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lastRenderedPageBreak/>
        <w:t>Income from counselling</w:t>
      </w:r>
    </w:p>
    <w:p w14:paraId="0DF70A71" w14:textId="77777777" w:rsidR="00E55420" w:rsidRDefault="00B07B81" w:rsidP="00E55420">
      <w:pPr>
        <w:pStyle w:val="BodyText"/>
      </w:pPr>
      <w:r w:rsidRPr="00B07B81">
        <w:t>32% of respondents agree or strongly agree they can earn a living from their current paid counselling hours. 66% of members earn £30,000 or less from counselling related work with over 31%  </w:t>
      </w:r>
    </w:p>
    <w:p w14:paraId="0F65BBD1" w14:textId="13C1D437" w:rsidR="00B07B81" w:rsidRPr="00B07B81" w:rsidRDefault="00B07B81" w:rsidP="00E55420">
      <w:pPr>
        <w:pStyle w:val="BodyText"/>
      </w:pPr>
      <w:r w:rsidRPr="00B07B81">
        <w:t>earning £12,500 or less.</w:t>
      </w:r>
    </w:p>
    <w:p w14:paraId="0A91BB0F" w14:textId="77777777" w:rsidR="00E55420" w:rsidRDefault="00B07B81" w:rsidP="00E55420">
      <w:pPr>
        <w:pStyle w:val="BodyText"/>
      </w:pPr>
      <w:r w:rsidRPr="00B07B81">
        <w:t>On average respondents are working 10.25 paid client contact hours per week and 1.29 unpaid </w:t>
      </w:r>
    </w:p>
    <w:p w14:paraId="4CE2F7D9" w14:textId="0CCF5F8F" w:rsidR="00B07B81" w:rsidRPr="00B07B81" w:rsidRDefault="00B07B81" w:rsidP="00E55420">
      <w:pPr>
        <w:pStyle w:val="BodyText"/>
      </w:pPr>
      <w:proofErr w:type="gramStart"/>
      <w:r w:rsidRPr="00B07B81">
        <w:t>c</w:t>
      </w:r>
      <w:r w:rsidR="00E55420">
        <w:t>l</w:t>
      </w:r>
      <w:r w:rsidRPr="00B07B81">
        <w:t>ient</w:t>
      </w:r>
      <w:proofErr w:type="gramEnd"/>
      <w:r w:rsidRPr="00B07B81">
        <w:t> contact hours per week.</w:t>
      </w:r>
    </w:p>
    <w:p w14:paraId="37FF0DEE" w14:textId="583EC6D5" w:rsidR="0049641C" w:rsidRPr="004B088E" w:rsidRDefault="0049641C" w:rsidP="0049641C">
      <w:pPr>
        <w:pStyle w:val="BodyText"/>
        <w:rPr>
          <w:b/>
          <w:bCs/>
          <w:noProof/>
        </w:rPr>
      </w:pPr>
      <w:r w:rsidRPr="004B088E">
        <w:rPr>
          <w:b/>
          <w:bCs/>
          <w:noProof/>
        </w:rPr>
        <w:t xml:space="preserve">Table </w:t>
      </w:r>
      <w:r w:rsidR="00D1680B">
        <w:rPr>
          <w:b/>
          <w:bCs/>
          <w:noProof/>
        </w:rPr>
        <w:t>5</w:t>
      </w:r>
      <w:r w:rsidRPr="004B088E">
        <w:rPr>
          <w:b/>
          <w:bCs/>
          <w:noProof/>
        </w:rPr>
        <w:t xml:space="preserve">: </w:t>
      </w:r>
      <w:r>
        <w:rPr>
          <w:b/>
          <w:bCs/>
          <w:noProof/>
        </w:rPr>
        <w:t>Income from counselling</w:t>
      </w:r>
    </w:p>
    <w:p w14:paraId="7D187B0D" w14:textId="77777777" w:rsidR="0049641C" w:rsidRDefault="0049641C" w:rsidP="0009338D">
      <w:pPr>
        <w:pStyle w:val="BodyText"/>
      </w:pPr>
    </w:p>
    <w:tbl>
      <w:tblPr>
        <w:tblStyle w:val="TableGrid"/>
        <w:tblW w:w="4063" w:type="pct"/>
        <w:tblLook w:val="04A0" w:firstRow="1" w:lastRow="0" w:firstColumn="1" w:lastColumn="0" w:noHBand="0" w:noVBand="1"/>
      </w:tblPr>
      <w:tblGrid>
        <w:gridCol w:w="6020"/>
        <w:gridCol w:w="1804"/>
      </w:tblGrid>
      <w:tr w:rsidR="006340E8" w14:paraId="46D3D96F" w14:textId="77777777" w:rsidTr="006340E8">
        <w:trPr>
          <w:trHeight w:val="271"/>
        </w:trPr>
        <w:tc>
          <w:tcPr>
            <w:tcW w:w="3847" w:type="pct"/>
          </w:tcPr>
          <w:p w14:paraId="31B355C8" w14:textId="08ABC1D3" w:rsidR="006340E8" w:rsidRPr="004B088E" w:rsidRDefault="006340E8" w:rsidP="002A640A">
            <w:pPr>
              <w:pStyle w:val="BodyText"/>
              <w:rPr>
                <w:b/>
                <w:bCs/>
                <w:noProof/>
              </w:rPr>
            </w:pPr>
            <w:r>
              <w:rPr>
                <w:b/>
                <w:bCs/>
                <w:noProof/>
              </w:rPr>
              <w:t>Income from counselling</w:t>
            </w:r>
          </w:p>
          <w:p w14:paraId="47EE9A3F" w14:textId="77777777" w:rsidR="006340E8" w:rsidRPr="009C6A9D" w:rsidRDefault="006340E8" w:rsidP="002A640A">
            <w:pPr>
              <w:rPr>
                <w:b/>
                <w:bCs/>
                <w:noProof/>
              </w:rPr>
            </w:pPr>
          </w:p>
        </w:tc>
        <w:tc>
          <w:tcPr>
            <w:tcW w:w="1153" w:type="pct"/>
          </w:tcPr>
          <w:p w14:paraId="27A02C65" w14:textId="3BCFC35D" w:rsidR="006340E8" w:rsidRPr="009C6A9D" w:rsidRDefault="006340E8" w:rsidP="002A640A">
            <w:pPr>
              <w:rPr>
                <w:b/>
                <w:bCs/>
                <w:noProof/>
              </w:rPr>
            </w:pPr>
            <w:r>
              <w:rPr>
                <w:b/>
                <w:bCs/>
                <w:noProof/>
              </w:rPr>
              <w:t>Workforce Mapping Survey percentage</w:t>
            </w:r>
          </w:p>
        </w:tc>
      </w:tr>
      <w:tr w:rsidR="006340E8" w:rsidRPr="00855742" w14:paraId="4A699F1E" w14:textId="77777777" w:rsidTr="006340E8">
        <w:trPr>
          <w:trHeight w:val="288"/>
        </w:trPr>
        <w:tc>
          <w:tcPr>
            <w:tcW w:w="3847" w:type="pct"/>
            <w:noWrap/>
            <w:vAlign w:val="bottom"/>
            <w:hideMark/>
          </w:tcPr>
          <w:p w14:paraId="4A12E985" w14:textId="4821D0CF"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£0</w:t>
            </w:r>
          </w:p>
        </w:tc>
        <w:tc>
          <w:tcPr>
            <w:tcW w:w="1153" w:type="pct"/>
            <w:noWrap/>
            <w:vAlign w:val="bottom"/>
          </w:tcPr>
          <w:p w14:paraId="52957300" w14:textId="66617FA3" w:rsidR="006340E8" w:rsidRPr="006C0237" w:rsidRDefault="006340E8"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8.</w:t>
            </w:r>
            <w:r w:rsidR="00D1680B">
              <w:rPr>
                <w:rFonts w:asciiTheme="majorHAnsi" w:eastAsia="Times New Roman" w:hAnsiTheme="majorHAnsi" w:cs="Calibri"/>
                <w:color w:val="000000"/>
                <w:lang w:eastAsia="en-GB"/>
              </w:rPr>
              <w:t>78</w:t>
            </w:r>
            <w:r>
              <w:rPr>
                <w:rFonts w:asciiTheme="majorHAnsi" w:eastAsia="Times New Roman" w:hAnsiTheme="majorHAnsi" w:cs="Calibri"/>
                <w:color w:val="000000"/>
                <w:lang w:eastAsia="en-GB"/>
              </w:rPr>
              <w:t>%</w:t>
            </w:r>
          </w:p>
        </w:tc>
      </w:tr>
      <w:tr w:rsidR="006340E8" w:rsidRPr="00855742" w14:paraId="293F2323" w14:textId="77777777" w:rsidTr="006340E8">
        <w:trPr>
          <w:trHeight w:val="288"/>
        </w:trPr>
        <w:tc>
          <w:tcPr>
            <w:tcW w:w="3847" w:type="pct"/>
            <w:noWrap/>
            <w:vAlign w:val="bottom"/>
            <w:hideMark/>
          </w:tcPr>
          <w:p w14:paraId="510A0CC0" w14:textId="32C44563"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Up to £12,500</w:t>
            </w:r>
          </w:p>
        </w:tc>
        <w:tc>
          <w:tcPr>
            <w:tcW w:w="1153" w:type="pct"/>
            <w:noWrap/>
            <w:vAlign w:val="bottom"/>
          </w:tcPr>
          <w:p w14:paraId="09980D33" w14:textId="5CDD9C39" w:rsidR="006340E8" w:rsidRPr="006C0237" w:rsidRDefault="00D1680B"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22.54</w:t>
            </w:r>
            <w:r w:rsidR="006340E8">
              <w:rPr>
                <w:rFonts w:asciiTheme="majorHAnsi" w:eastAsia="Times New Roman" w:hAnsiTheme="majorHAnsi" w:cs="Calibri"/>
                <w:color w:val="000000"/>
                <w:lang w:eastAsia="en-GB"/>
              </w:rPr>
              <w:t>%</w:t>
            </w:r>
          </w:p>
        </w:tc>
      </w:tr>
      <w:tr w:rsidR="006340E8" w:rsidRPr="00855742" w14:paraId="17A829C4" w14:textId="77777777" w:rsidTr="006340E8">
        <w:trPr>
          <w:trHeight w:val="288"/>
        </w:trPr>
        <w:tc>
          <w:tcPr>
            <w:tcW w:w="3847" w:type="pct"/>
            <w:noWrap/>
            <w:vAlign w:val="bottom"/>
            <w:hideMark/>
          </w:tcPr>
          <w:p w14:paraId="7633C5BC" w14:textId="7B8D1CBC"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£12,501 - £20,000</w:t>
            </w:r>
          </w:p>
        </w:tc>
        <w:tc>
          <w:tcPr>
            <w:tcW w:w="1153" w:type="pct"/>
            <w:noWrap/>
            <w:vAlign w:val="bottom"/>
          </w:tcPr>
          <w:p w14:paraId="3B35BD33" w14:textId="5A019EA4" w:rsidR="006340E8" w:rsidRPr="006C0237" w:rsidRDefault="00D1680B"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16.7</w:t>
            </w:r>
            <w:r w:rsidR="006340E8">
              <w:rPr>
                <w:rFonts w:asciiTheme="majorHAnsi" w:eastAsia="Times New Roman" w:hAnsiTheme="majorHAnsi" w:cs="Calibri"/>
                <w:color w:val="000000"/>
                <w:lang w:eastAsia="en-GB"/>
              </w:rPr>
              <w:t>%</w:t>
            </w:r>
          </w:p>
        </w:tc>
      </w:tr>
      <w:tr w:rsidR="006340E8" w:rsidRPr="00855742" w14:paraId="6F3B76EC" w14:textId="77777777" w:rsidTr="006340E8">
        <w:trPr>
          <w:trHeight w:val="288"/>
        </w:trPr>
        <w:tc>
          <w:tcPr>
            <w:tcW w:w="3847" w:type="pct"/>
            <w:noWrap/>
            <w:vAlign w:val="bottom"/>
            <w:hideMark/>
          </w:tcPr>
          <w:p w14:paraId="29570EAF" w14:textId="2F27E02E"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£20,001 - £30,000</w:t>
            </w:r>
          </w:p>
        </w:tc>
        <w:tc>
          <w:tcPr>
            <w:tcW w:w="1153" w:type="pct"/>
            <w:noWrap/>
            <w:vAlign w:val="bottom"/>
          </w:tcPr>
          <w:p w14:paraId="0BDB182F" w14:textId="115BEFE0" w:rsidR="006340E8" w:rsidRPr="006C0237" w:rsidRDefault="00D1680B"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18.2</w:t>
            </w:r>
            <w:r w:rsidR="006340E8">
              <w:rPr>
                <w:rFonts w:asciiTheme="majorHAnsi" w:eastAsia="Times New Roman" w:hAnsiTheme="majorHAnsi" w:cs="Calibri"/>
                <w:color w:val="000000"/>
                <w:lang w:eastAsia="en-GB"/>
              </w:rPr>
              <w:t>%</w:t>
            </w:r>
          </w:p>
        </w:tc>
      </w:tr>
      <w:tr w:rsidR="006340E8" w:rsidRPr="00855742" w14:paraId="59AC253D" w14:textId="77777777" w:rsidTr="006340E8">
        <w:trPr>
          <w:trHeight w:val="288"/>
        </w:trPr>
        <w:tc>
          <w:tcPr>
            <w:tcW w:w="3847" w:type="pct"/>
            <w:noWrap/>
            <w:vAlign w:val="bottom"/>
            <w:hideMark/>
          </w:tcPr>
          <w:p w14:paraId="574E303F" w14:textId="3375854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£30,001 - £40,000</w:t>
            </w:r>
          </w:p>
        </w:tc>
        <w:tc>
          <w:tcPr>
            <w:tcW w:w="1153" w:type="pct"/>
            <w:noWrap/>
            <w:vAlign w:val="bottom"/>
          </w:tcPr>
          <w:p w14:paraId="6D9DCC1B" w14:textId="41C83B75" w:rsidR="006340E8" w:rsidRPr="006C0237" w:rsidRDefault="00D1680B"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14.19</w:t>
            </w:r>
            <w:r w:rsidR="006340E8">
              <w:rPr>
                <w:rFonts w:asciiTheme="majorHAnsi" w:eastAsia="Times New Roman" w:hAnsiTheme="majorHAnsi" w:cs="Calibri"/>
                <w:color w:val="000000"/>
                <w:lang w:eastAsia="en-GB"/>
              </w:rPr>
              <w:t>%</w:t>
            </w:r>
          </w:p>
        </w:tc>
      </w:tr>
      <w:tr w:rsidR="006340E8" w:rsidRPr="00855742" w14:paraId="16CA97F1" w14:textId="77777777" w:rsidTr="006340E8">
        <w:trPr>
          <w:trHeight w:val="288"/>
        </w:trPr>
        <w:tc>
          <w:tcPr>
            <w:tcW w:w="3847" w:type="pct"/>
            <w:noWrap/>
            <w:vAlign w:val="bottom"/>
            <w:hideMark/>
          </w:tcPr>
          <w:p w14:paraId="3C1D71B2" w14:textId="053CA772"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£40,001 - £50,000</w:t>
            </w:r>
          </w:p>
        </w:tc>
        <w:tc>
          <w:tcPr>
            <w:tcW w:w="1153" w:type="pct"/>
            <w:noWrap/>
            <w:vAlign w:val="bottom"/>
          </w:tcPr>
          <w:p w14:paraId="509FA004" w14:textId="4593F235" w:rsidR="006340E8" w:rsidRPr="006C0237" w:rsidRDefault="00BD12A2"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7.59</w:t>
            </w:r>
            <w:r w:rsidR="00F7502E">
              <w:rPr>
                <w:rFonts w:asciiTheme="majorHAnsi" w:eastAsia="Times New Roman" w:hAnsiTheme="majorHAnsi" w:cs="Calibri"/>
                <w:color w:val="000000"/>
                <w:lang w:eastAsia="en-GB"/>
              </w:rPr>
              <w:t>%</w:t>
            </w:r>
          </w:p>
        </w:tc>
      </w:tr>
      <w:tr w:rsidR="006340E8" w:rsidRPr="00855742" w14:paraId="428120B6" w14:textId="77777777" w:rsidTr="006340E8">
        <w:trPr>
          <w:trHeight w:val="288"/>
        </w:trPr>
        <w:tc>
          <w:tcPr>
            <w:tcW w:w="3847" w:type="pct"/>
            <w:noWrap/>
            <w:vAlign w:val="bottom"/>
            <w:hideMark/>
          </w:tcPr>
          <w:p w14:paraId="7533ADE6" w14:textId="34D099BB"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£50,001 - £75,000</w:t>
            </w:r>
          </w:p>
        </w:tc>
        <w:tc>
          <w:tcPr>
            <w:tcW w:w="1153" w:type="pct"/>
            <w:noWrap/>
            <w:vAlign w:val="bottom"/>
          </w:tcPr>
          <w:p w14:paraId="5AA336FB" w14:textId="214C4CEE" w:rsidR="006340E8" w:rsidRPr="006C0237" w:rsidRDefault="00BD12A2"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4.33</w:t>
            </w:r>
            <w:r w:rsidR="00F7502E">
              <w:rPr>
                <w:rFonts w:asciiTheme="majorHAnsi" w:eastAsia="Times New Roman" w:hAnsiTheme="majorHAnsi" w:cs="Calibri"/>
                <w:color w:val="000000"/>
                <w:lang w:eastAsia="en-GB"/>
              </w:rPr>
              <w:t>%</w:t>
            </w:r>
          </w:p>
        </w:tc>
      </w:tr>
      <w:tr w:rsidR="006340E8" w:rsidRPr="00855742" w14:paraId="1992346D" w14:textId="77777777" w:rsidTr="006340E8">
        <w:trPr>
          <w:trHeight w:val="288"/>
        </w:trPr>
        <w:tc>
          <w:tcPr>
            <w:tcW w:w="3847" w:type="pct"/>
            <w:noWrap/>
            <w:vAlign w:val="bottom"/>
            <w:hideMark/>
          </w:tcPr>
          <w:p w14:paraId="6ED0C4AD" w14:textId="1694593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£75,001 - £100,000</w:t>
            </w:r>
          </w:p>
        </w:tc>
        <w:tc>
          <w:tcPr>
            <w:tcW w:w="1153" w:type="pct"/>
            <w:noWrap/>
            <w:vAlign w:val="bottom"/>
          </w:tcPr>
          <w:p w14:paraId="5A160387" w14:textId="7D5DCC28"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w:t>
            </w:r>
            <w:r w:rsidR="00BD12A2">
              <w:rPr>
                <w:rFonts w:asciiTheme="majorHAnsi" w:eastAsia="Times New Roman" w:hAnsiTheme="majorHAnsi" w:cs="Calibri"/>
                <w:color w:val="000000"/>
                <w:lang w:eastAsia="en-GB"/>
              </w:rPr>
              <w:t>85</w:t>
            </w:r>
            <w:r>
              <w:rPr>
                <w:rFonts w:asciiTheme="majorHAnsi" w:eastAsia="Times New Roman" w:hAnsiTheme="majorHAnsi" w:cs="Calibri"/>
                <w:color w:val="000000"/>
                <w:lang w:eastAsia="en-GB"/>
              </w:rPr>
              <w:t>%</w:t>
            </w:r>
          </w:p>
        </w:tc>
      </w:tr>
      <w:tr w:rsidR="006340E8" w:rsidRPr="00855742" w14:paraId="43925E21" w14:textId="77777777" w:rsidTr="006340E8">
        <w:trPr>
          <w:trHeight w:val="288"/>
        </w:trPr>
        <w:tc>
          <w:tcPr>
            <w:tcW w:w="3847" w:type="pct"/>
            <w:noWrap/>
            <w:vAlign w:val="bottom"/>
            <w:hideMark/>
          </w:tcPr>
          <w:p w14:paraId="18F20008" w14:textId="527174C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£100,001 - £150,000</w:t>
            </w:r>
          </w:p>
        </w:tc>
        <w:tc>
          <w:tcPr>
            <w:tcW w:w="1153" w:type="pct"/>
            <w:noWrap/>
            <w:vAlign w:val="bottom"/>
          </w:tcPr>
          <w:p w14:paraId="16F802DC" w14:textId="3F521811"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w:t>
            </w:r>
            <w:r w:rsidR="00BD12A2">
              <w:rPr>
                <w:rFonts w:asciiTheme="majorHAnsi" w:eastAsia="Times New Roman" w:hAnsiTheme="majorHAnsi" w:cs="Calibri"/>
                <w:color w:val="000000"/>
                <w:lang w:eastAsia="en-GB"/>
              </w:rPr>
              <w:t>20</w:t>
            </w:r>
            <w:r>
              <w:rPr>
                <w:rFonts w:asciiTheme="majorHAnsi" w:eastAsia="Times New Roman" w:hAnsiTheme="majorHAnsi" w:cs="Calibri"/>
                <w:color w:val="000000"/>
                <w:lang w:eastAsia="en-GB"/>
              </w:rPr>
              <w:t>%</w:t>
            </w:r>
          </w:p>
        </w:tc>
      </w:tr>
      <w:tr w:rsidR="006340E8" w:rsidRPr="00855742" w14:paraId="226882ED" w14:textId="77777777" w:rsidTr="006340E8">
        <w:trPr>
          <w:trHeight w:val="288"/>
        </w:trPr>
        <w:tc>
          <w:tcPr>
            <w:tcW w:w="3847" w:type="pct"/>
            <w:noWrap/>
            <w:vAlign w:val="bottom"/>
            <w:hideMark/>
          </w:tcPr>
          <w:p w14:paraId="6131F845" w14:textId="242B9BC9"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Over £150,000</w:t>
            </w:r>
          </w:p>
        </w:tc>
        <w:tc>
          <w:tcPr>
            <w:tcW w:w="1153" w:type="pct"/>
            <w:noWrap/>
            <w:vAlign w:val="bottom"/>
          </w:tcPr>
          <w:p w14:paraId="550E5891" w14:textId="68DEEA82" w:rsidR="006340E8" w:rsidRPr="006C0237" w:rsidRDefault="00F7502E"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w:t>
            </w:r>
            <w:r w:rsidR="00BD12A2">
              <w:rPr>
                <w:rFonts w:asciiTheme="majorHAnsi" w:eastAsia="Times New Roman" w:hAnsiTheme="majorHAnsi" w:cs="Calibri"/>
                <w:color w:val="000000"/>
                <w:lang w:eastAsia="en-GB"/>
              </w:rPr>
              <w:t>03</w:t>
            </w:r>
            <w:r>
              <w:rPr>
                <w:rFonts w:asciiTheme="majorHAnsi" w:eastAsia="Times New Roman" w:hAnsiTheme="majorHAnsi" w:cs="Calibri"/>
                <w:color w:val="000000"/>
                <w:lang w:eastAsia="en-GB"/>
              </w:rPr>
              <w:t>%</w:t>
            </w:r>
          </w:p>
        </w:tc>
      </w:tr>
      <w:tr w:rsidR="006340E8" w:rsidRPr="00855742" w14:paraId="0AA3003A" w14:textId="77777777" w:rsidTr="006340E8">
        <w:trPr>
          <w:trHeight w:val="288"/>
        </w:trPr>
        <w:tc>
          <w:tcPr>
            <w:tcW w:w="3847" w:type="pct"/>
            <w:noWrap/>
            <w:vAlign w:val="bottom"/>
            <w:hideMark/>
          </w:tcPr>
          <w:p w14:paraId="1E73862E" w14:textId="04482A07" w:rsidR="006340E8" w:rsidRPr="006C0237" w:rsidRDefault="006340E8" w:rsidP="006C0237">
            <w:pPr>
              <w:rPr>
                <w:rFonts w:asciiTheme="majorHAnsi" w:eastAsia="Times New Roman" w:hAnsiTheme="majorHAnsi" w:cs="Calibri"/>
                <w:color w:val="000000"/>
                <w:lang w:eastAsia="en-GB"/>
              </w:rPr>
            </w:pPr>
            <w:r w:rsidRPr="006C0237">
              <w:rPr>
                <w:rFonts w:asciiTheme="majorHAnsi" w:hAnsiTheme="majorHAnsi" w:cs="Calibri"/>
                <w:color w:val="000000"/>
              </w:rPr>
              <w:t>Do not wish to disclose</w:t>
            </w:r>
          </w:p>
        </w:tc>
        <w:tc>
          <w:tcPr>
            <w:tcW w:w="1153" w:type="pct"/>
            <w:noWrap/>
            <w:vAlign w:val="bottom"/>
          </w:tcPr>
          <w:p w14:paraId="50EF6282" w14:textId="34985001" w:rsidR="006340E8" w:rsidRPr="006C0237" w:rsidRDefault="00BD12A2" w:rsidP="006C0237">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6.60</w:t>
            </w:r>
            <w:r w:rsidR="00F7502E">
              <w:rPr>
                <w:rFonts w:asciiTheme="majorHAnsi" w:eastAsia="Times New Roman" w:hAnsiTheme="majorHAnsi" w:cs="Calibri"/>
                <w:color w:val="000000"/>
                <w:lang w:eastAsia="en-GB"/>
              </w:rPr>
              <w:t>%</w:t>
            </w:r>
          </w:p>
        </w:tc>
      </w:tr>
    </w:tbl>
    <w:p w14:paraId="053F211D" w14:textId="77777777" w:rsidR="00F7502E" w:rsidRDefault="00F7502E" w:rsidP="00573756">
      <w:pPr>
        <w:pStyle w:val="BodyText"/>
        <w:rPr>
          <w:b/>
          <w:bCs/>
          <w:noProof/>
        </w:rPr>
      </w:pPr>
    </w:p>
    <w:p w14:paraId="2D5DEB2A" w14:textId="77777777" w:rsidR="006C0237" w:rsidRDefault="006C0237" w:rsidP="00573756">
      <w:pPr>
        <w:pStyle w:val="BodyText"/>
        <w:rPr>
          <w:b/>
          <w:bCs/>
          <w:noProof/>
        </w:rPr>
      </w:pPr>
    </w:p>
    <w:p w14:paraId="3CF78324" w14:textId="265B2F40" w:rsidR="00573756" w:rsidRPr="004B088E" w:rsidRDefault="00573756" w:rsidP="00573756">
      <w:pPr>
        <w:pStyle w:val="BodyText"/>
        <w:rPr>
          <w:b/>
          <w:bCs/>
          <w:noProof/>
        </w:rPr>
      </w:pPr>
      <w:r w:rsidRPr="004B088E">
        <w:rPr>
          <w:b/>
          <w:bCs/>
          <w:noProof/>
        </w:rPr>
        <w:t xml:space="preserve">Table </w:t>
      </w:r>
      <w:r w:rsidR="003D2523">
        <w:rPr>
          <w:b/>
          <w:bCs/>
          <w:noProof/>
        </w:rPr>
        <w:t>6</w:t>
      </w:r>
      <w:r w:rsidRPr="004B088E">
        <w:rPr>
          <w:b/>
          <w:bCs/>
          <w:noProof/>
        </w:rPr>
        <w:t xml:space="preserve">: </w:t>
      </w:r>
      <w:r>
        <w:rPr>
          <w:b/>
          <w:bCs/>
          <w:noProof/>
        </w:rPr>
        <w:t>Earn a living</w:t>
      </w:r>
    </w:p>
    <w:p w14:paraId="69D51017" w14:textId="77777777" w:rsidR="00333937" w:rsidRPr="00585B40" w:rsidRDefault="00333937" w:rsidP="005A046D">
      <w:pPr>
        <w:pStyle w:val="BodyText"/>
      </w:pPr>
    </w:p>
    <w:tbl>
      <w:tblPr>
        <w:tblStyle w:val="TableGrid"/>
        <w:tblW w:w="5000" w:type="pct"/>
        <w:tblLook w:val="04A0" w:firstRow="1" w:lastRow="0" w:firstColumn="1" w:lastColumn="0" w:noHBand="0" w:noVBand="1"/>
      </w:tblPr>
      <w:tblGrid>
        <w:gridCol w:w="7408"/>
        <w:gridCol w:w="2220"/>
      </w:tblGrid>
      <w:tr w:rsidR="00573756" w14:paraId="741B86C2" w14:textId="77777777" w:rsidTr="00B37DA2">
        <w:trPr>
          <w:trHeight w:val="271"/>
        </w:trPr>
        <w:tc>
          <w:tcPr>
            <w:tcW w:w="3847" w:type="pct"/>
          </w:tcPr>
          <w:p w14:paraId="5ED39EAA" w14:textId="6710FFD0" w:rsidR="00573756" w:rsidRPr="004B088E" w:rsidRDefault="00573756" w:rsidP="002A640A">
            <w:pPr>
              <w:pStyle w:val="BodyText"/>
              <w:rPr>
                <w:b/>
                <w:bCs/>
                <w:noProof/>
              </w:rPr>
            </w:pPr>
            <w:r>
              <w:rPr>
                <w:b/>
                <w:bCs/>
                <w:noProof/>
              </w:rPr>
              <w:t>I can earn a living from counselling related work</w:t>
            </w:r>
          </w:p>
          <w:p w14:paraId="777ACC8D" w14:textId="77777777" w:rsidR="00573756" w:rsidRPr="009C6A9D" w:rsidRDefault="00573756" w:rsidP="002A640A">
            <w:pPr>
              <w:rPr>
                <w:b/>
                <w:bCs/>
                <w:noProof/>
              </w:rPr>
            </w:pPr>
          </w:p>
        </w:tc>
        <w:tc>
          <w:tcPr>
            <w:tcW w:w="1153" w:type="pct"/>
          </w:tcPr>
          <w:p w14:paraId="31F3E16B" w14:textId="77777777" w:rsidR="00573756" w:rsidRPr="009C6A9D" w:rsidRDefault="00573756" w:rsidP="002A640A">
            <w:pPr>
              <w:rPr>
                <w:b/>
                <w:bCs/>
                <w:noProof/>
              </w:rPr>
            </w:pPr>
            <w:r>
              <w:rPr>
                <w:b/>
                <w:bCs/>
                <w:noProof/>
              </w:rPr>
              <w:t>Workforce Mapping Survey percentage</w:t>
            </w:r>
          </w:p>
        </w:tc>
      </w:tr>
      <w:tr w:rsidR="00B37DA2" w:rsidRPr="00B37DA2" w14:paraId="3332D625" w14:textId="77777777" w:rsidTr="00B37DA2">
        <w:trPr>
          <w:trHeight w:val="288"/>
        </w:trPr>
        <w:tc>
          <w:tcPr>
            <w:tcW w:w="3847" w:type="pct"/>
            <w:noWrap/>
            <w:hideMark/>
          </w:tcPr>
          <w:p w14:paraId="0432C2AC" w14:textId="77777777" w:rsidR="00B37DA2" w:rsidRPr="00B37DA2" w:rsidRDefault="00B37DA2" w:rsidP="00B37DA2">
            <w:pPr>
              <w:rPr>
                <w:rFonts w:asciiTheme="majorHAnsi" w:eastAsia="Times New Roman" w:hAnsiTheme="majorHAnsi" w:cs="Calibri"/>
                <w:color w:val="000000"/>
                <w:lang w:eastAsia="en-GB"/>
              </w:rPr>
            </w:pPr>
            <w:r w:rsidRPr="00B37DA2">
              <w:rPr>
                <w:rFonts w:asciiTheme="majorHAnsi" w:eastAsia="Times New Roman" w:hAnsiTheme="majorHAnsi" w:cs="Calibri"/>
                <w:color w:val="000000"/>
                <w:lang w:eastAsia="en-GB"/>
              </w:rPr>
              <w:t>Agree &amp; Strongly agree</w:t>
            </w:r>
          </w:p>
        </w:tc>
        <w:tc>
          <w:tcPr>
            <w:tcW w:w="1153" w:type="pct"/>
            <w:noWrap/>
            <w:hideMark/>
          </w:tcPr>
          <w:p w14:paraId="2A63013A" w14:textId="435E72F6" w:rsidR="00B37DA2" w:rsidRPr="00B37DA2" w:rsidRDefault="003D2523" w:rsidP="00B37DA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31.54</w:t>
            </w:r>
            <w:r w:rsidR="005413B0">
              <w:rPr>
                <w:rFonts w:asciiTheme="majorHAnsi" w:eastAsia="Times New Roman" w:hAnsiTheme="majorHAnsi" w:cs="Calibri"/>
                <w:color w:val="000000"/>
                <w:lang w:eastAsia="en-GB"/>
              </w:rPr>
              <w:t>%</w:t>
            </w:r>
          </w:p>
        </w:tc>
      </w:tr>
      <w:tr w:rsidR="00B37DA2" w:rsidRPr="00B37DA2" w14:paraId="5C1DCE58" w14:textId="77777777" w:rsidTr="00B37DA2">
        <w:trPr>
          <w:trHeight w:val="288"/>
        </w:trPr>
        <w:tc>
          <w:tcPr>
            <w:tcW w:w="3847" w:type="pct"/>
            <w:noWrap/>
            <w:hideMark/>
          </w:tcPr>
          <w:p w14:paraId="404E09FE" w14:textId="77777777" w:rsidR="00B37DA2" w:rsidRPr="00B37DA2" w:rsidRDefault="00B37DA2" w:rsidP="00B37DA2">
            <w:pPr>
              <w:rPr>
                <w:rFonts w:asciiTheme="majorHAnsi" w:eastAsia="Times New Roman" w:hAnsiTheme="majorHAnsi" w:cs="Calibri"/>
                <w:color w:val="000000"/>
                <w:lang w:eastAsia="en-GB"/>
              </w:rPr>
            </w:pPr>
            <w:r w:rsidRPr="00B37DA2">
              <w:rPr>
                <w:rFonts w:asciiTheme="majorHAnsi" w:eastAsia="Times New Roman" w:hAnsiTheme="majorHAnsi" w:cs="Calibri"/>
                <w:color w:val="000000"/>
                <w:lang w:eastAsia="en-GB"/>
              </w:rPr>
              <w:t>Disagree &amp; Strongly disagree</w:t>
            </w:r>
          </w:p>
        </w:tc>
        <w:tc>
          <w:tcPr>
            <w:tcW w:w="1153" w:type="pct"/>
            <w:noWrap/>
            <w:hideMark/>
          </w:tcPr>
          <w:p w14:paraId="0CE22E7B" w14:textId="55FEB652" w:rsidR="00B37DA2" w:rsidRPr="00B37DA2" w:rsidRDefault="003D2523" w:rsidP="00B37DA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51.51</w:t>
            </w:r>
            <w:r w:rsidR="00B37DA2" w:rsidRPr="00B37DA2">
              <w:rPr>
                <w:rFonts w:asciiTheme="majorHAnsi" w:eastAsia="Times New Roman" w:hAnsiTheme="majorHAnsi" w:cs="Calibri"/>
                <w:color w:val="000000"/>
                <w:lang w:eastAsia="en-GB"/>
              </w:rPr>
              <w:t>%</w:t>
            </w:r>
          </w:p>
        </w:tc>
      </w:tr>
      <w:tr w:rsidR="00B37DA2" w:rsidRPr="00B37DA2" w14:paraId="596071FD" w14:textId="77777777" w:rsidTr="00B37DA2">
        <w:trPr>
          <w:trHeight w:val="288"/>
        </w:trPr>
        <w:tc>
          <w:tcPr>
            <w:tcW w:w="3847" w:type="pct"/>
            <w:noWrap/>
            <w:hideMark/>
          </w:tcPr>
          <w:p w14:paraId="7E81DF81" w14:textId="77777777" w:rsidR="00B37DA2" w:rsidRPr="00B37DA2" w:rsidRDefault="00B37DA2" w:rsidP="00B37DA2">
            <w:pPr>
              <w:rPr>
                <w:rFonts w:asciiTheme="majorHAnsi" w:eastAsia="Times New Roman" w:hAnsiTheme="majorHAnsi" w:cs="Calibri"/>
                <w:color w:val="000000"/>
                <w:lang w:eastAsia="en-GB"/>
              </w:rPr>
            </w:pPr>
            <w:r w:rsidRPr="00B37DA2">
              <w:rPr>
                <w:rFonts w:asciiTheme="majorHAnsi" w:eastAsia="Times New Roman" w:hAnsiTheme="majorHAnsi" w:cs="Calibri"/>
                <w:color w:val="000000"/>
                <w:lang w:eastAsia="en-GB"/>
              </w:rPr>
              <w:t>Neither agree nor disagree</w:t>
            </w:r>
          </w:p>
        </w:tc>
        <w:tc>
          <w:tcPr>
            <w:tcW w:w="1153" w:type="pct"/>
            <w:noWrap/>
            <w:hideMark/>
          </w:tcPr>
          <w:p w14:paraId="57685A63" w14:textId="0F6AC98D" w:rsidR="00B37DA2" w:rsidRPr="00B37DA2" w:rsidRDefault="003D2523" w:rsidP="00B37DA2">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16.95</w:t>
            </w:r>
            <w:r w:rsidR="00B37DA2" w:rsidRPr="00B37DA2">
              <w:rPr>
                <w:rFonts w:asciiTheme="majorHAnsi" w:eastAsia="Times New Roman" w:hAnsiTheme="majorHAnsi" w:cs="Calibri"/>
                <w:color w:val="000000"/>
                <w:lang w:eastAsia="en-GB"/>
              </w:rPr>
              <w:t>%</w:t>
            </w:r>
          </w:p>
        </w:tc>
      </w:tr>
    </w:tbl>
    <w:p w14:paraId="54577BDA" w14:textId="77777777" w:rsidR="005A046D" w:rsidRPr="00B37DA2" w:rsidRDefault="005A046D" w:rsidP="00B37DA2">
      <w:pPr>
        <w:pStyle w:val="BodyText"/>
        <w:rPr>
          <w:rFonts w:asciiTheme="majorHAnsi" w:hAnsiTheme="majorHAnsi"/>
        </w:rPr>
      </w:pPr>
    </w:p>
    <w:p w14:paraId="2F3B0DF0" w14:textId="77777777" w:rsidR="002A37E1" w:rsidRDefault="002A37E1" w:rsidP="005A046D"/>
    <w:p w14:paraId="19CC16FB" w14:textId="393000A2" w:rsidR="001D4F6A" w:rsidRDefault="001D4F6A" w:rsidP="005A046D">
      <w:r>
        <w:br w:type="page"/>
      </w:r>
    </w:p>
    <w:p w14:paraId="5512260C" w14:textId="77777777" w:rsidR="002A37E1" w:rsidRDefault="002A37E1" w:rsidP="005A046D"/>
    <w:p w14:paraId="7A0ECC37" w14:textId="0CFDDBB2" w:rsidR="002A37E1" w:rsidRPr="00E931F2" w:rsidRDefault="002A37E1" w:rsidP="002A37E1">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Income and sector</w:t>
      </w:r>
    </w:p>
    <w:p w14:paraId="77C9C50A" w14:textId="77777777" w:rsidR="00041037" w:rsidRPr="00041037" w:rsidRDefault="00041037" w:rsidP="00041037">
      <w:r w:rsidRPr="00041037">
        <w:t>A higher proportion of respondents working in the third sector are earning £0 from counselling related work (7.36%) than any other sector.</w:t>
      </w:r>
    </w:p>
    <w:p w14:paraId="6E51AAD4" w14:textId="77777777" w:rsidR="00211205" w:rsidRDefault="00211205" w:rsidP="005A046D"/>
    <w:p w14:paraId="31AA8863" w14:textId="0CED8AEE" w:rsidR="0006706E" w:rsidRPr="004B088E" w:rsidRDefault="0006706E" w:rsidP="0006706E">
      <w:pPr>
        <w:pStyle w:val="BodyText"/>
        <w:rPr>
          <w:b/>
          <w:bCs/>
          <w:noProof/>
        </w:rPr>
      </w:pPr>
      <w:r w:rsidRPr="004B088E">
        <w:rPr>
          <w:b/>
          <w:bCs/>
          <w:noProof/>
        </w:rPr>
        <w:t xml:space="preserve">Table </w:t>
      </w:r>
      <w:r w:rsidR="00041037">
        <w:rPr>
          <w:b/>
          <w:bCs/>
          <w:noProof/>
        </w:rPr>
        <w:t>7</w:t>
      </w:r>
      <w:r w:rsidRPr="004B088E">
        <w:rPr>
          <w:b/>
          <w:bCs/>
          <w:noProof/>
        </w:rPr>
        <w:t xml:space="preserve">: </w:t>
      </w:r>
      <w:r>
        <w:rPr>
          <w:b/>
          <w:bCs/>
          <w:noProof/>
        </w:rPr>
        <w:t>Income and sector</w:t>
      </w:r>
    </w:p>
    <w:p w14:paraId="1EFE1E5A" w14:textId="77777777" w:rsidR="002A37E1" w:rsidRDefault="002A37E1" w:rsidP="005A046D"/>
    <w:tbl>
      <w:tblPr>
        <w:tblStyle w:val="TableGrid"/>
        <w:tblW w:w="5000" w:type="pct"/>
        <w:tblLayout w:type="fixed"/>
        <w:tblLook w:val="04A0" w:firstRow="1" w:lastRow="0" w:firstColumn="1" w:lastColumn="0" w:noHBand="0" w:noVBand="1"/>
      </w:tblPr>
      <w:tblGrid>
        <w:gridCol w:w="1414"/>
        <w:gridCol w:w="1132"/>
        <w:gridCol w:w="1136"/>
        <w:gridCol w:w="1275"/>
        <w:gridCol w:w="1417"/>
        <w:gridCol w:w="1134"/>
        <w:gridCol w:w="1134"/>
        <w:gridCol w:w="986"/>
      </w:tblGrid>
      <w:tr w:rsidR="00DE7CE3" w14:paraId="33FEF778" w14:textId="77777777" w:rsidTr="005E7DC6">
        <w:tc>
          <w:tcPr>
            <w:tcW w:w="734" w:type="pct"/>
          </w:tcPr>
          <w:p w14:paraId="2FF206DC" w14:textId="77777777" w:rsidR="002156D4" w:rsidRPr="004B088E" w:rsidRDefault="002156D4" w:rsidP="004E0253">
            <w:pPr>
              <w:pStyle w:val="BodyText"/>
              <w:rPr>
                <w:b/>
                <w:bCs/>
                <w:noProof/>
              </w:rPr>
            </w:pPr>
            <w:r>
              <w:rPr>
                <w:b/>
                <w:bCs/>
                <w:noProof/>
              </w:rPr>
              <w:t>Income from counselling</w:t>
            </w:r>
          </w:p>
          <w:p w14:paraId="7823522C" w14:textId="77777777" w:rsidR="002156D4" w:rsidRDefault="002156D4" w:rsidP="004E0253"/>
        </w:tc>
        <w:tc>
          <w:tcPr>
            <w:tcW w:w="588" w:type="pct"/>
          </w:tcPr>
          <w:p w14:paraId="5A244EAC" w14:textId="3B506862" w:rsidR="002156D4" w:rsidRDefault="002156D4" w:rsidP="004E0253">
            <w:r>
              <w:t>Criminal justice setting</w:t>
            </w:r>
          </w:p>
        </w:tc>
        <w:tc>
          <w:tcPr>
            <w:tcW w:w="590" w:type="pct"/>
          </w:tcPr>
          <w:p w14:paraId="3DEAFE44" w14:textId="027AFFE3" w:rsidR="002156D4" w:rsidRDefault="002156D4" w:rsidP="004E0253">
            <w:r>
              <w:t>EAP/Workplace</w:t>
            </w:r>
          </w:p>
        </w:tc>
        <w:tc>
          <w:tcPr>
            <w:tcW w:w="662" w:type="pct"/>
          </w:tcPr>
          <w:p w14:paraId="7B29521D" w14:textId="754B9FEB" w:rsidR="002156D4" w:rsidRDefault="00E84800" w:rsidP="004E0253">
            <w:r>
              <w:t xml:space="preserve">Healthcare </w:t>
            </w:r>
          </w:p>
        </w:tc>
        <w:tc>
          <w:tcPr>
            <w:tcW w:w="736" w:type="pct"/>
          </w:tcPr>
          <w:p w14:paraId="7B401373" w14:textId="4747E2B8" w:rsidR="002156D4" w:rsidRDefault="00E84800" w:rsidP="004E0253">
            <w:r>
              <w:t>Private Practice</w:t>
            </w:r>
          </w:p>
        </w:tc>
        <w:tc>
          <w:tcPr>
            <w:tcW w:w="589" w:type="pct"/>
          </w:tcPr>
          <w:p w14:paraId="643718CA" w14:textId="2EA84CC6" w:rsidR="002156D4" w:rsidRDefault="00E84800" w:rsidP="004E0253">
            <w:r>
              <w:t>Education</w:t>
            </w:r>
          </w:p>
        </w:tc>
        <w:tc>
          <w:tcPr>
            <w:tcW w:w="589" w:type="pct"/>
          </w:tcPr>
          <w:p w14:paraId="30BEDA85" w14:textId="1E1BEF50" w:rsidR="002156D4" w:rsidRDefault="0057458A" w:rsidP="004E0253">
            <w:r>
              <w:t>Other</w:t>
            </w:r>
          </w:p>
        </w:tc>
        <w:tc>
          <w:tcPr>
            <w:tcW w:w="512" w:type="pct"/>
          </w:tcPr>
          <w:p w14:paraId="24D1F1B1" w14:textId="57753ADD" w:rsidR="002156D4" w:rsidRDefault="002156D4" w:rsidP="004E0253">
            <w:r>
              <w:t>Third sector/</w:t>
            </w:r>
            <w:r w:rsidR="00727920">
              <w:t xml:space="preserve"> </w:t>
            </w:r>
            <w:r>
              <w:t>social care setting</w:t>
            </w:r>
          </w:p>
        </w:tc>
      </w:tr>
      <w:tr w:rsidR="00DE7CE3" w14:paraId="53F47BFA" w14:textId="77777777" w:rsidTr="005E7DC6">
        <w:tc>
          <w:tcPr>
            <w:tcW w:w="734" w:type="pct"/>
          </w:tcPr>
          <w:p w14:paraId="3C2B173B" w14:textId="72FDF7AA" w:rsidR="002156D4" w:rsidRDefault="002156D4" w:rsidP="004E0253">
            <w:r w:rsidRPr="00855742">
              <w:rPr>
                <w:rFonts w:asciiTheme="majorHAnsi" w:eastAsia="Times New Roman" w:hAnsiTheme="majorHAnsi" w:cs="Calibri"/>
                <w:color w:val="000000"/>
                <w:lang w:eastAsia="en-GB"/>
              </w:rPr>
              <w:t>£0</w:t>
            </w:r>
          </w:p>
        </w:tc>
        <w:tc>
          <w:tcPr>
            <w:tcW w:w="588" w:type="pct"/>
          </w:tcPr>
          <w:p w14:paraId="576890A9" w14:textId="7525FC0D" w:rsidR="002156D4" w:rsidRPr="001269FF" w:rsidRDefault="0057458A" w:rsidP="004E0253">
            <w:r w:rsidRPr="001269FF">
              <w:t>1</w:t>
            </w:r>
            <w:r w:rsidR="00705FC2">
              <w:t xml:space="preserve"> (1.64%)</w:t>
            </w:r>
          </w:p>
        </w:tc>
        <w:tc>
          <w:tcPr>
            <w:tcW w:w="590" w:type="pct"/>
          </w:tcPr>
          <w:p w14:paraId="61827A9C" w14:textId="09A3CA69" w:rsidR="002156D4" w:rsidRPr="001269FF" w:rsidRDefault="0057458A" w:rsidP="004E0253">
            <w:r w:rsidRPr="001269FF">
              <w:t>4</w:t>
            </w:r>
            <w:r w:rsidR="00560B9A">
              <w:t xml:space="preserve"> (0.26%)</w:t>
            </w:r>
          </w:p>
        </w:tc>
        <w:tc>
          <w:tcPr>
            <w:tcW w:w="662" w:type="pct"/>
          </w:tcPr>
          <w:p w14:paraId="65A69CFE" w14:textId="0D475D1B" w:rsidR="002156D4" w:rsidRPr="001269FF" w:rsidRDefault="0057458A" w:rsidP="004E0253">
            <w:r w:rsidRPr="001269FF">
              <w:t>16</w:t>
            </w:r>
            <w:r w:rsidR="007D2405">
              <w:t xml:space="preserve"> (1.12%)</w:t>
            </w:r>
          </w:p>
        </w:tc>
        <w:tc>
          <w:tcPr>
            <w:tcW w:w="736" w:type="pct"/>
          </w:tcPr>
          <w:p w14:paraId="43E1B2CF" w14:textId="626822E9" w:rsidR="002156D4" w:rsidRPr="001269FF" w:rsidRDefault="0057458A" w:rsidP="004E0253">
            <w:r w:rsidRPr="001269FF">
              <w:t>26</w:t>
            </w:r>
            <w:r w:rsidR="00412AF1">
              <w:t xml:space="preserve"> (0.5%)</w:t>
            </w:r>
          </w:p>
        </w:tc>
        <w:tc>
          <w:tcPr>
            <w:tcW w:w="589" w:type="pct"/>
          </w:tcPr>
          <w:p w14:paraId="449596AD" w14:textId="542958A5" w:rsidR="002156D4" w:rsidRPr="001269FF" w:rsidRDefault="0057458A" w:rsidP="004E0253">
            <w:r w:rsidRPr="001269FF">
              <w:t>37</w:t>
            </w:r>
            <w:r w:rsidR="009A4D54">
              <w:t xml:space="preserve"> (1.67%)</w:t>
            </w:r>
          </w:p>
        </w:tc>
        <w:tc>
          <w:tcPr>
            <w:tcW w:w="589" w:type="pct"/>
          </w:tcPr>
          <w:p w14:paraId="39C23EC5" w14:textId="4B73ED40" w:rsidR="002156D4" w:rsidRPr="001269FF" w:rsidRDefault="0057458A" w:rsidP="004E0253">
            <w:r w:rsidRPr="001269FF">
              <w:t>3</w:t>
            </w:r>
            <w:r w:rsidR="005648B2">
              <w:t xml:space="preserve"> (1.32%)</w:t>
            </w:r>
          </w:p>
        </w:tc>
        <w:tc>
          <w:tcPr>
            <w:tcW w:w="512" w:type="pct"/>
          </w:tcPr>
          <w:p w14:paraId="6BEECFD3" w14:textId="17492052" w:rsidR="002156D4" w:rsidRPr="001269FF" w:rsidRDefault="0057458A" w:rsidP="004E0253">
            <w:r w:rsidRPr="001269FF">
              <w:t>184</w:t>
            </w:r>
            <w:r w:rsidR="000C56DD">
              <w:t xml:space="preserve"> (7.36%)</w:t>
            </w:r>
          </w:p>
        </w:tc>
      </w:tr>
      <w:tr w:rsidR="00DE7CE3" w14:paraId="27E1ECD4" w14:textId="77777777" w:rsidTr="005E7DC6">
        <w:tc>
          <w:tcPr>
            <w:tcW w:w="734" w:type="pct"/>
          </w:tcPr>
          <w:p w14:paraId="326D234F" w14:textId="14133B7B" w:rsidR="002156D4" w:rsidRDefault="002156D4" w:rsidP="004E0253">
            <w:r w:rsidRPr="00855742">
              <w:rPr>
                <w:rFonts w:asciiTheme="majorHAnsi" w:eastAsia="Times New Roman" w:hAnsiTheme="majorHAnsi" w:cs="Calibri"/>
                <w:color w:val="000000"/>
                <w:lang w:eastAsia="en-GB"/>
              </w:rPr>
              <w:t>Up to £12,500</w:t>
            </w:r>
          </w:p>
        </w:tc>
        <w:tc>
          <w:tcPr>
            <w:tcW w:w="588" w:type="pct"/>
          </w:tcPr>
          <w:p w14:paraId="6544FA1D" w14:textId="48080F28" w:rsidR="002156D4" w:rsidRPr="001269FF" w:rsidRDefault="0057458A" w:rsidP="004E0253">
            <w:r w:rsidRPr="001269FF">
              <w:t>7</w:t>
            </w:r>
            <w:r w:rsidR="00705FC2">
              <w:t xml:space="preserve"> (11.48%)</w:t>
            </w:r>
          </w:p>
        </w:tc>
        <w:tc>
          <w:tcPr>
            <w:tcW w:w="590" w:type="pct"/>
          </w:tcPr>
          <w:p w14:paraId="223C11A3" w14:textId="4DE19832" w:rsidR="002156D4" w:rsidRPr="001269FF" w:rsidRDefault="0057458A" w:rsidP="004E0253">
            <w:r w:rsidRPr="001269FF">
              <w:t>268</w:t>
            </w:r>
            <w:r w:rsidR="00560B9A">
              <w:t xml:space="preserve"> (17.74%)</w:t>
            </w:r>
          </w:p>
        </w:tc>
        <w:tc>
          <w:tcPr>
            <w:tcW w:w="662" w:type="pct"/>
          </w:tcPr>
          <w:p w14:paraId="757D71A7" w14:textId="324F349A" w:rsidR="002156D4" w:rsidRPr="001269FF" w:rsidRDefault="0057458A" w:rsidP="004E0253">
            <w:r w:rsidRPr="001269FF">
              <w:t>153</w:t>
            </w:r>
            <w:r w:rsidR="007D2405">
              <w:t xml:space="preserve"> (10.68%)</w:t>
            </w:r>
          </w:p>
        </w:tc>
        <w:tc>
          <w:tcPr>
            <w:tcW w:w="736" w:type="pct"/>
          </w:tcPr>
          <w:p w14:paraId="687E12E5" w14:textId="6F41EC43" w:rsidR="002156D4" w:rsidRPr="001269FF" w:rsidRDefault="0057458A" w:rsidP="004E0253">
            <w:r w:rsidRPr="001269FF">
              <w:t>1253</w:t>
            </w:r>
            <w:r w:rsidR="00412AF1">
              <w:t xml:space="preserve"> (24.25%)</w:t>
            </w:r>
          </w:p>
        </w:tc>
        <w:tc>
          <w:tcPr>
            <w:tcW w:w="589" w:type="pct"/>
          </w:tcPr>
          <w:p w14:paraId="47A7C584" w14:textId="1AA591AA" w:rsidR="002156D4" w:rsidRPr="001269FF" w:rsidRDefault="0057458A" w:rsidP="004E0253">
            <w:r w:rsidRPr="001269FF">
              <w:t>346</w:t>
            </w:r>
            <w:r w:rsidR="009A4D54">
              <w:t xml:space="preserve"> (15.59%)</w:t>
            </w:r>
          </w:p>
        </w:tc>
        <w:tc>
          <w:tcPr>
            <w:tcW w:w="589" w:type="pct"/>
          </w:tcPr>
          <w:p w14:paraId="0A512921" w14:textId="6C93BD43" w:rsidR="002156D4" w:rsidRPr="001269FF" w:rsidRDefault="0057458A" w:rsidP="004E0253">
            <w:r w:rsidRPr="001269FF">
              <w:t>45</w:t>
            </w:r>
            <w:r w:rsidR="005648B2">
              <w:t xml:space="preserve"> (19.82%)</w:t>
            </w:r>
          </w:p>
        </w:tc>
        <w:tc>
          <w:tcPr>
            <w:tcW w:w="512" w:type="pct"/>
          </w:tcPr>
          <w:p w14:paraId="66A39819" w14:textId="18BD3210" w:rsidR="002156D4" w:rsidRPr="001269FF" w:rsidRDefault="0057458A" w:rsidP="004E0253">
            <w:r w:rsidRPr="001269FF">
              <w:t>637</w:t>
            </w:r>
            <w:r w:rsidR="000C56DD">
              <w:t xml:space="preserve"> (25.48%)</w:t>
            </w:r>
          </w:p>
        </w:tc>
      </w:tr>
      <w:tr w:rsidR="00DE7CE3" w14:paraId="47F05F9E" w14:textId="77777777" w:rsidTr="0088064B">
        <w:trPr>
          <w:trHeight w:val="782"/>
        </w:trPr>
        <w:tc>
          <w:tcPr>
            <w:tcW w:w="734" w:type="pct"/>
          </w:tcPr>
          <w:p w14:paraId="017E38AA" w14:textId="40DDA7F0" w:rsidR="002156D4" w:rsidRDefault="002156D4" w:rsidP="004E0253">
            <w:r w:rsidRPr="00855742">
              <w:rPr>
                <w:rFonts w:asciiTheme="majorHAnsi" w:eastAsia="Times New Roman" w:hAnsiTheme="majorHAnsi" w:cs="Calibri"/>
                <w:color w:val="000000"/>
                <w:lang w:eastAsia="en-GB"/>
              </w:rPr>
              <w:t>£12,501 - £20,000</w:t>
            </w:r>
          </w:p>
        </w:tc>
        <w:tc>
          <w:tcPr>
            <w:tcW w:w="588" w:type="pct"/>
          </w:tcPr>
          <w:p w14:paraId="21475802" w14:textId="1EB8836F" w:rsidR="002156D4" w:rsidRPr="008258BE" w:rsidRDefault="00713B41" w:rsidP="004E0253">
            <w:r>
              <w:t>6</w:t>
            </w:r>
            <w:r w:rsidR="00705FC2">
              <w:t xml:space="preserve"> (9.84%)</w:t>
            </w:r>
          </w:p>
        </w:tc>
        <w:tc>
          <w:tcPr>
            <w:tcW w:w="590" w:type="pct"/>
          </w:tcPr>
          <w:p w14:paraId="49081A25" w14:textId="4BA8182E" w:rsidR="002156D4" w:rsidRPr="008258BE" w:rsidRDefault="00713B41" w:rsidP="004E0253">
            <w:r>
              <w:t>337</w:t>
            </w:r>
            <w:r w:rsidR="00560B9A">
              <w:t xml:space="preserve"> (22.3%)</w:t>
            </w:r>
          </w:p>
        </w:tc>
        <w:tc>
          <w:tcPr>
            <w:tcW w:w="662" w:type="pct"/>
          </w:tcPr>
          <w:p w14:paraId="56DFD9FA" w14:textId="1B316C57" w:rsidR="002156D4" w:rsidRPr="008258BE" w:rsidRDefault="00713B41" w:rsidP="004E0253">
            <w:r>
              <w:t>237</w:t>
            </w:r>
            <w:r w:rsidR="007D2405">
              <w:t xml:space="preserve"> (16.54%)</w:t>
            </w:r>
          </w:p>
        </w:tc>
        <w:tc>
          <w:tcPr>
            <w:tcW w:w="736" w:type="pct"/>
          </w:tcPr>
          <w:p w14:paraId="64BA322C" w14:textId="1D8A872E" w:rsidR="002156D4" w:rsidRPr="008258BE" w:rsidRDefault="00713B41" w:rsidP="004E0253">
            <w:r>
              <w:t>998</w:t>
            </w:r>
            <w:r w:rsidR="00412AF1">
              <w:t xml:space="preserve"> (19.32%)</w:t>
            </w:r>
          </w:p>
        </w:tc>
        <w:tc>
          <w:tcPr>
            <w:tcW w:w="589" w:type="pct"/>
          </w:tcPr>
          <w:p w14:paraId="5623A078" w14:textId="629E9FA8" w:rsidR="002156D4" w:rsidRPr="008258BE" w:rsidRDefault="00713B41" w:rsidP="004E0253">
            <w:r>
              <w:t>471</w:t>
            </w:r>
            <w:r w:rsidR="009A4D54">
              <w:t xml:space="preserve"> (21.22%)</w:t>
            </w:r>
          </w:p>
        </w:tc>
        <w:tc>
          <w:tcPr>
            <w:tcW w:w="589" w:type="pct"/>
          </w:tcPr>
          <w:p w14:paraId="2FCFF74F" w14:textId="46302F0C" w:rsidR="002156D4" w:rsidRPr="008258BE" w:rsidRDefault="00713B41" w:rsidP="004E0253">
            <w:r>
              <w:t>27</w:t>
            </w:r>
            <w:r w:rsidR="005648B2">
              <w:t xml:space="preserve"> (11.89%)</w:t>
            </w:r>
          </w:p>
        </w:tc>
        <w:tc>
          <w:tcPr>
            <w:tcW w:w="512" w:type="pct"/>
          </w:tcPr>
          <w:p w14:paraId="584F51C3" w14:textId="7C1DBB03" w:rsidR="002156D4" w:rsidRPr="008258BE" w:rsidRDefault="00713B41" w:rsidP="004E0253">
            <w:r>
              <w:t>434</w:t>
            </w:r>
            <w:r w:rsidR="000C56DD">
              <w:t xml:space="preserve"> (17.36%)</w:t>
            </w:r>
          </w:p>
        </w:tc>
      </w:tr>
      <w:tr w:rsidR="00DE7CE3" w14:paraId="7806C4F0" w14:textId="77777777" w:rsidTr="005E7DC6">
        <w:tc>
          <w:tcPr>
            <w:tcW w:w="734" w:type="pct"/>
          </w:tcPr>
          <w:p w14:paraId="4EAE9A48" w14:textId="12807C41" w:rsidR="002156D4" w:rsidRPr="002079CE" w:rsidRDefault="002156D4" w:rsidP="004E0253">
            <w:r w:rsidRPr="002079CE">
              <w:rPr>
                <w:rFonts w:asciiTheme="majorHAnsi" w:eastAsia="Times New Roman" w:hAnsiTheme="majorHAnsi" w:cs="Calibri"/>
                <w:lang w:eastAsia="en-GB"/>
              </w:rPr>
              <w:t>£20,001 - £30,000</w:t>
            </w:r>
          </w:p>
        </w:tc>
        <w:tc>
          <w:tcPr>
            <w:tcW w:w="588" w:type="pct"/>
          </w:tcPr>
          <w:p w14:paraId="6B91194C" w14:textId="69BF61BC" w:rsidR="002156D4" w:rsidRPr="002079CE" w:rsidRDefault="00713B41" w:rsidP="004E0253">
            <w:r>
              <w:t>13</w:t>
            </w:r>
            <w:r w:rsidR="00705FC2">
              <w:t xml:space="preserve"> (21.31%)</w:t>
            </w:r>
          </w:p>
        </w:tc>
        <w:tc>
          <w:tcPr>
            <w:tcW w:w="590" w:type="pct"/>
          </w:tcPr>
          <w:p w14:paraId="38845DD7" w14:textId="01B71CB1" w:rsidR="002156D4" w:rsidRPr="002079CE" w:rsidRDefault="00713B41" w:rsidP="004E0253">
            <w:r>
              <w:t>332</w:t>
            </w:r>
            <w:r w:rsidR="00560B9A">
              <w:t xml:space="preserve"> (21.97%)</w:t>
            </w:r>
          </w:p>
        </w:tc>
        <w:tc>
          <w:tcPr>
            <w:tcW w:w="662" w:type="pct"/>
          </w:tcPr>
          <w:p w14:paraId="4910C3DE" w14:textId="26F180CE" w:rsidR="002156D4" w:rsidRPr="002079CE" w:rsidRDefault="00713B41" w:rsidP="004E0253">
            <w:r>
              <w:t>308</w:t>
            </w:r>
            <w:r w:rsidR="007D2405">
              <w:t xml:space="preserve"> (21.49%)</w:t>
            </w:r>
          </w:p>
        </w:tc>
        <w:tc>
          <w:tcPr>
            <w:tcW w:w="736" w:type="pct"/>
          </w:tcPr>
          <w:p w14:paraId="2336EF6C" w14:textId="097E36FC" w:rsidR="002156D4" w:rsidRPr="002079CE" w:rsidRDefault="00713B41" w:rsidP="004E0253">
            <w:r>
              <w:t>1070</w:t>
            </w:r>
            <w:r w:rsidR="00412AF1">
              <w:t xml:space="preserve"> (20.71%)</w:t>
            </w:r>
          </w:p>
        </w:tc>
        <w:tc>
          <w:tcPr>
            <w:tcW w:w="589" w:type="pct"/>
          </w:tcPr>
          <w:p w14:paraId="0D8BB890" w14:textId="17E19A9E" w:rsidR="002156D4" w:rsidRPr="002079CE" w:rsidRDefault="00713B41" w:rsidP="004E0253">
            <w:r>
              <w:t>528</w:t>
            </w:r>
            <w:r w:rsidR="009A4D54">
              <w:t xml:space="preserve"> (23.78%)</w:t>
            </w:r>
          </w:p>
        </w:tc>
        <w:tc>
          <w:tcPr>
            <w:tcW w:w="589" w:type="pct"/>
          </w:tcPr>
          <w:p w14:paraId="443413E0" w14:textId="71BB87E2" w:rsidR="002156D4" w:rsidRPr="002079CE" w:rsidRDefault="00713B41" w:rsidP="004E0253">
            <w:r>
              <w:t>39</w:t>
            </w:r>
            <w:r w:rsidR="005648B2">
              <w:t xml:space="preserve"> (17.18%)</w:t>
            </w:r>
          </w:p>
        </w:tc>
        <w:tc>
          <w:tcPr>
            <w:tcW w:w="512" w:type="pct"/>
          </w:tcPr>
          <w:p w14:paraId="1CEB4E9F" w14:textId="266E7C2D" w:rsidR="002156D4" w:rsidRPr="002079CE" w:rsidRDefault="00713B41" w:rsidP="004E0253">
            <w:r>
              <w:t>471</w:t>
            </w:r>
            <w:r w:rsidR="000C56DD">
              <w:t xml:space="preserve"> </w:t>
            </w:r>
            <w:r w:rsidR="00C22CD6">
              <w:t>(18.84%)</w:t>
            </w:r>
          </w:p>
        </w:tc>
      </w:tr>
      <w:tr w:rsidR="00DE7CE3" w14:paraId="10DE20B0" w14:textId="77777777" w:rsidTr="005E7DC6">
        <w:tc>
          <w:tcPr>
            <w:tcW w:w="734" w:type="pct"/>
          </w:tcPr>
          <w:p w14:paraId="1E72F0F0" w14:textId="662B89D3" w:rsidR="002156D4" w:rsidRPr="00B2570A" w:rsidRDefault="002156D4" w:rsidP="004E0253">
            <w:r w:rsidRPr="00B2570A">
              <w:rPr>
                <w:rFonts w:asciiTheme="majorHAnsi" w:eastAsia="Times New Roman" w:hAnsiTheme="majorHAnsi" w:cs="Calibri"/>
                <w:lang w:eastAsia="en-GB"/>
              </w:rPr>
              <w:t>£30,001 - £40,000</w:t>
            </w:r>
          </w:p>
        </w:tc>
        <w:tc>
          <w:tcPr>
            <w:tcW w:w="588" w:type="pct"/>
          </w:tcPr>
          <w:p w14:paraId="36BE2CE4" w14:textId="16C25E7C" w:rsidR="002156D4" w:rsidRPr="00B2570A" w:rsidRDefault="00713B41" w:rsidP="004E0253">
            <w:r>
              <w:t>20</w:t>
            </w:r>
            <w:r w:rsidR="00705FC2">
              <w:t xml:space="preserve"> (32.79%)</w:t>
            </w:r>
          </w:p>
        </w:tc>
        <w:tc>
          <w:tcPr>
            <w:tcW w:w="590" w:type="pct"/>
          </w:tcPr>
          <w:p w14:paraId="38CD016B" w14:textId="17CD136C" w:rsidR="002156D4" w:rsidRPr="00B2570A" w:rsidRDefault="00713B41" w:rsidP="004E0253">
            <w:r>
              <w:t>250</w:t>
            </w:r>
            <w:r w:rsidR="00560B9A">
              <w:t xml:space="preserve"> (16.55%)</w:t>
            </w:r>
          </w:p>
        </w:tc>
        <w:tc>
          <w:tcPr>
            <w:tcW w:w="662" w:type="pct"/>
          </w:tcPr>
          <w:p w14:paraId="2BBC3080" w14:textId="33574775" w:rsidR="002156D4" w:rsidRPr="00B2570A" w:rsidRDefault="00713B41" w:rsidP="004E0253">
            <w:r>
              <w:t>299</w:t>
            </w:r>
            <w:r w:rsidR="007D2405">
              <w:t xml:space="preserve"> (20.87%)</w:t>
            </w:r>
          </w:p>
        </w:tc>
        <w:tc>
          <w:tcPr>
            <w:tcW w:w="736" w:type="pct"/>
          </w:tcPr>
          <w:p w14:paraId="6D9D750A" w14:textId="62464022" w:rsidR="002156D4" w:rsidRPr="00B2570A" w:rsidRDefault="00713B41" w:rsidP="004E0253">
            <w:r>
              <w:t>1070</w:t>
            </w:r>
            <w:r w:rsidR="00412AF1">
              <w:t xml:space="preserve"> (14.40%)</w:t>
            </w:r>
          </w:p>
        </w:tc>
        <w:tc>
          <w:tcPr>
            <w:tcW w:w="589" w:type="pct"/>
          </w:tcPr>
          <w:p w14:paraId="4C9FF8F8" w14:textId="194D9505" w:rsidR="002156D4" w:rsidRPr="00B2570A" w:rsidRDefault="00713B41" w:rsidP="004E0253">
            <w:r>
              <w:t>528</w:t>
            </w:r>
            <w:r w:rsidR="009A4D54">
              <w:t xml:space="preserve"> (20.59%)</w:t>
            </w:r>
          </w:p>
        </w:tc>
        <w:tc>
          <w:tcPr>
            <w:tcW w:w="589" w:type="pct"/>
          </w:tcPr>
          <w:p w14:paraId="301F1125" w14:textId="6DC2A7A2" w:rsidR="002156D4" w:rsidRPr="00B2570A" w:rsidRDefault="001E0DD2" w:rsidP="004E0253">
            <w:r>
              <w:t>58 (25.55%)</w:t>
            </w:r>
          </w:p>
        </w:tc>
        <w:tc>
          <w:tcPr>
            <w:tcW w:w="512" w:type="pct"/>
          </w:tcPr>
          <w:p w14:paraId="32E1841F" w14:textId="4B33F738" w:rsidR="002156D4" w:rsidRPr="00B2570A" w:rsidRDefault="00C22CD6" w:rsidP="004E0253">
            <w:r>
              <w:t>375 (15%)</w:t>
            </w:r>
          </w:p>
        </w:tc>
      </w:tr>
      <w:tr w:rsidR="00DE7CE3" w14:paraId="47647BA1" w14:textId="77777777" w:rsidTr="005E7DC6">
        <w:tc>
          <w:tcPr>
            <w:tcW w:w="734" w:type="pct"/>
          </w:tcPr>
          <w:p w14:paraId="5B2BBBE8" w14:textId="2F53570B" w:rsidR="002156D4" w:rsidRPr="00B2570A" w:rsidRDefault="002156D4" w:rsidP="004E0253">
            <w:r w:rsidRPr="00B2570A">
              <w:rPr>
                <w:rFonts w:asciiTheme="majorHAnsi" w:eastAsia="Times New Roman" w:hAnsiTheme="majorHAnsi" w:cs="Calibri"/>
                <w:lang w:eastAsia="en-GB"/>
              </w:rPr>
              <w:t>£40,001 - £50,000</w:t>
            </w:r>
          </w:p>
        </w:tc>
        <w:tc>
          <w:tcPr>
            <w:tcW w:w="588" w:type="pct"/>
          </w:tcPr>
          <w:p w14:paraId="3498B2D1" w14:textId="1DDAF5E9" w:rsidR="002156D4" w:rsidRPr="00B2570A" w:rsidRDefault="00883B98" w:rsidP="004E0253">
            <w:r>
              <w:t>1</w:t>
            </w:r>
            <w:r w:rsidR="00594A4D">
              <w:t xml:space="preserve"> (1.64%)</w:t>
            </w:r>
          </w:p>
        </w:tc>
        <w:tc>
          <w:tcPr>
            <w:tcW w:w="590" w:type="pct"/>
          </w:tcPr>
          <w:p w14:paraId="6110BC36" w14:textId="01E99BAC" w:rsidR="002156D4" w:rsidRPr="00B2570A" w:rsidRDefault="00883B98" w:rsidP="004E0253">
            <w:r>
              <w:t>134</w:t>
            </w:r>
            <w:r w:rsidR="00560B9A">
              <w:t xml:space="preserve"> (8.87%)</w:t>
            </w:r>
          </w:p>
        </w:tc>
        <w:tc>
          <w:tcPr>
            <w:tcW w:w="662" w:type="pct"/>
          </w:tcPr>
          <w:p w14:paraId="5A115DF9" w14:textId="11A63BF5" w:rsidR="002156D4" w:rsidRPr="00B2570A" w:rsidRDefault="00883B98" w:rsidP="004E0253">
            <w:r>
              <w:t>217</w:t>
            </w:r>
            <w:r w:rsidR="007D2405">
              <w:t xml:space="preserve"> (15.14%)</w:t>
            </w:r>
          </w:p>
        </w:tc>
        <w:tc>
          <w:tcPr>
            <w:tcW w:w="736" w:type="pct"/>
          </w:tcPr>
          <w:p w14:paraId="674F0B0C" w14:textId="092DDE34" w:rsidR="002156D4" w:rsidRPr="00B2570A" w:rsidRDefault="00883B98" w:rsidP="004E0253">
            <w:r>
              <w:t>415</w:t>
            </w:r>
            <w:r w:rsidR="00412AF1">
              <w:t xml:space="preserve"> (8.03%)</w:t>
            </w:r>
          </w:p>
        </w:tc>
        <w:tc>
          <w:tcPr>
            <w:tcW w:w="589" w:type="pct"/>
          </w:tcPr>
          <w:p w14:paraId="5E67B349" w14:textId="5748B737" w:rsidR="002156D4" w:rsidRPr="00B2570A" w:rsidRDefault="00883B98" w:rsidP="004E0253">
            <w:r>
              <w:t>132</w:t>
            </w:r>
            <w:r w:rsidR="009A4D54">
              <w:t xml:space="preserve"> (5.95%)</w:t>
            </w:r>
          </w:p>
        </w:tc>
        <w:tc>
          <w:tcPr>
            <w:tcW w:w="589" w:type="pct"/>
          </w:tcPr>
          <w:p w14:paraId="4B55CEE3" w14:textId="1C70A6FB" w:rsidR="002156D4" w:rsidRPr="00B2570A" w:rsidRDefault="00883B98" w:rsidP="004E0253">
            <w:r>
              <w:t>14</w:t>
            </w:r>
            <w:r w:rsidR="001E0DD2">
              <w:t xml:space="preserve"> (6.17%)</w:t>
            </w:r>
          </w:p>
        </w:tc>
        <w:tc>
          <w:tcPr>
            <w:tcW w:w="512" w:type="pct"/>
          </w:tcPr>
          <w:p w14:paraId="35EEAC5D" w14:textId="4199F609" w:rsidR="002156D4" w:rsidRPr="00B2570A" w:rsidRDefault="00883B98" w:rsidP="004E0253">
            <w:r>
              <w:t>153</w:t>
            </w:r>
            <w:r w:rsidR="00C22CD6">
              <w:t xml:space="preserve"> (6.12%)</w:t>
            </w:r>
          </w:p>
        </w:tc>
      </w:tr>
      <w:tr w:rsidR="00DE7CE3" w14:paraId="4AC5224C" w14:textId="77777777" w:rsidTr="005E7DC6">
        <w:tc>
          <w:tcPr>
            <w:tcW w:w="734" w:type="pct"/>
          </w:tcPr>
          <w:p w14:paraId="625CC71F" w14:textId="2B3F1059" w:rsidR="002156D4" w:rsidRPr="00B2570A" w:rsidRDefault="002156D4" w:rsidP="004E0253">
            <w:r w:rsidRPr="00B2570A">
              <w:rPr>
                <w:rFonts w:asciiTheme="majorHAnsi" w:eastAsia="Times New Roman" w:hAnsiTheme="majorHAnsi" w:cs="Calibri"/>
                <w:lang w:eastAsia="en-GB"/>
              </w:rPr>
              <w:t>£50,001 - £75,000</w:t>
            </w:r>
          </w:p>
        </w:tc>
        <w:tc>
          <w:tcPr>
            <w:tcW w:w="588" w:type="pct"/>
          </w:tcPr>
          <w:p w14:paraId="74E7B743" w14:textId="34AF1586" w:rsidR="002156D4" w:rsidRPr="00B2570A" w:rsidRDefault="00883B98" w:rsidP="004E0253">
            <w:r>
              <w:t>2</w:t>
            </w:r>
            <w:r w:rsidR="00594A4D">
              <w:t xml:space="preserve"> (3.28%)</w:t>
            </w:r>
          </w:p>
        </w:tc>
        <w:tc>
          <w:tcPr>
            <w:tcW w:w="590" w:type="pct"/>
          </w:tcPr>
          <w:p w14:paraId="786E7521" w14:textId="40B703E8" w:rsidR="002156D4" w:rsidRPr="00B2570A" w:rsidRDefault="00883B98" w:rsidP="004E0253">
            <w:r>
              <w:t>41</w:t>
            </w:r>
            <w:r w:rsidR="00560B9A">
              <w:t xml:space="preserve"> (2.71%)</w:t>
            </w:r>
          </w:p>
        </w:tc>
        <w:tc>
          <w:tcPr>
            <w:tcW w:w="662" w:type="pct"/>
          </w:tcPr>
          <w:p w14:paraId="4090737E" w14:textId="79C4E9FB" w:rsidR="002156D4" w:rsidRPr="00B2570A" w:rsidRDefault="00883B98" w:rsidP="004E0253">
            <w:r>
              <w:t>84</w:t>
            </w:r>
            <w:r w:rsidR="007D2405">
              <w:t xml:space="preserve"> (5.86%)</w:t>
            </w:r>
          </w:p>
        </w:tc>
        <w:tc>
          <w:tcPr>
            <w:tcW w:w="736" w:type="pct"/>
          </w:tcPr>
          <w:p w14:paraId="00AB7009" w14:textId="7A466A04" w:rsidR="002156D4" w:rsidRPr="00B2570A" w:rsidRDefault="00883B98" w:rsidP="004E0253">
            <w:r>
              <w:t>218</w:t>
            </w:r>
            <w:r w:rsidR="00412AF1">
              <w:t xml:space="preserve"> (4.22%)</w:t>
            </w:r>
          </w:p>
        </w:tc>
        <w:tc>
          <w:tcPr>
            <w:tcW w:w="589" w:type="pct"/>
          </w:tcPr>
          <w:p w14:paraId="4BF5B2C8" w14:textId="060C8A68" w:rsidR="002156D4" w:rsidRPr="00B2570A" w:rsidRDefault="00883B98" w:rsidP="004E0253">
            <w:r>
              <w:t>88</w:t>
            </w:r>
            <w:r w:rsidR="00383266">
              <w:t xml:space="preserve"> (3.96%)</w:t>
            </w:r>
          </w:p>
        </w:tc>
        <w:tc>
          <w:tcPr>
            <w:tcW w:w="589" w:type="pct"/>
          </w:tcPr>
          <w:p w14:paraId="2BD86E43" w14:textId="7E6FD5DA" w:rsidR="002156D4" w:rsidRPr="00B2570A" w:rsidRDefault="00883B98" w:rsidP="004E0253">
            <w:r>
              <w:t>7</w:t>
            </w:r>
            <w:r w:rsidR="001E0DD2">
              <w:t xml:space="preserve"> (3.08%)</w:t>
            </w:r>
          </w:p>
        </w:tc>
        <w:tc>
          <w:tcPr>
            <w:tcW w:w="512" w:type="pct"/>
          </w:tcPr>
          <w:p w14:paraId="290AC9D9" w14:textId="5E5319EE" w:rsidR="002156D4" w:rsidRPr="00B2570A" w:rsidRDefault="00883B98" w:rsidP="004E0253">
            <w:r>
              <w:t>61</w:t>
            </w:r>
            <w:r w:rsidR="00C22CD6">
              <w:t xml:space="preserve"> (2.44%)</w:t>
            </w:r>
          </w:p>
        </w:tc>
      </w:tr>
      <w:tr w:rsidR="00DE7CE3" w14:paraId="3A6044E7" w14:textId="77777777" w:rsidTr="005E7DC6">
        <w:tc>
          <w:tcPr>
            <w:tcW w:w="734" w:type="pct"/>
          </w:tcPr>
          <w:p w14:paraId="60709A8D" w14:textId="2D62E785" w:rsidR="002156D4" w:rsidRPr="00B2570A" w:rsidRDefault="002156D4" w:rsidP="004E0253">
            <w:r w:rsidRPr="00B2570A">
              <w:rPr>
                <w:rFonts w:asciiTheme="majorHAnsi" w:eastAsia="Times New Roman" w:hAnsiTheme="majorHAnsi" w:cs="Calibri"/>
                <w:lang w:eastAsia="en-GB"/>
              </w:rPr>
              <w:t>£75,001 - £100,000</w:t>
            </w:r>
          </w:p>
        </w:tc>
        <w:tc>
          <w:tcPr>
            <w:tcW w:w="588" w:type="pct"/>
          </w:tcPr>
          <w:p w14:paraId="1E7F314F" w14:textId="66982D64" w:rsidR="002156D4" w:rsidRPr="00B2570A" w:rsidRDefault="00B8756B" w:rsidP="004E0253">
            <w:r>
              <w:t>2</w:t>
            </w:r>
            <w:r w:rsidR="00594A4D">
              <w:t xml:space="preserve"> (3.28%)</w:t>
            </w:r>
          </w:p>
        </w:tc>
        <w:tc>
          <w:tcPr>
            <w:tcW w:w="590" w:type="pct"/>
          </w:tcPr>
          <w:p w14:paraId="109361E5" w14:textId="2FF5D9FE" w:rsidR="002156D4" w:rsidRPr="00B2570A" w:rsidRDefault="00B8756B" w:rsidP="004E0253">
            <w:r>
              <w:t>17</w:t>
            </w:r>
            <w:r w:rsidR="00560B9A">
              <w:t xml:space="preserve"> (1.13%)</w:t>
            </w:r>
          </w:p>
        </w:tc>
        <w:tc>
          <w:tcPr>
            <w:tcW w:w="662" w:type="pct"/>
          </w:tcPr>
          <w:p w14:paraId="011F3888" w14:textId="5DFF7C4C" w:rsidR="002156D4" w:rsidRPr="006A73C4" w:rsidRDefault="00B8756B" w:rsidP="004E0253">
            <w:r>
              <w:t>21</w:t>
            </w:r>
            <w:r w:rsidR="007D2405">
              <w:t xml:space="preserve"> (1.47%)</w:t>
            </w:r>
          </w:p>
        </w:tc>
        <w:tc>
          <w:tcPr>
            <w:tcW w:w="736" w:type="pct"/>
          </w:tcPr>
          <w:p w14:paraId="25C85E93" w14:textId="15580AC8" w:rsidR="002156D4" w:rsidRPr="006A73C4" w:rsidRDefault="00B8756B" w:rsidP="004E0253">
            <w:r>
              <w:t>58</w:t>
            </w:r>
            <w:r w:rsidR="00412AF1">
              <w:t xml:space="preserve"> (1.12%)</w:t>
            </w:r>
          </w:p>
        </w:tc>
        <w:tc>
          <w:tcPr>
            <w:tcW w:w="589" w:type="pct"/>
          </w:tcPr>
          <w:p w14:paraId="12E0E47B" w14:textId="61A74752" w:rsidR="002156D4" w:rsidRPr="006A73C4" w:rsidRDefault="00B8756B" w:rsidP="004E0253">
            <w:r>
              <w:t>11</w:t>
            </w:r>
            <w:r w:rsidR="00383266">
              <w:t xml:space="preserve"> (0.5%)</w:t>
            </w:r>
          </w:p>
        </w:tc>
        <w:tc>
          <w:tcPr>
            <w:tcW w:w="589" w:type="pct"/>
          </w:tcPr>
          <w:p w14:paraId="58A9EEB4" w14:textId="5B233019" w:rsidR="002156D4" w:rsidRPr="006A73C4" w:rsidRDefault="00B8756B" w:rsidP="004E0253">
            <w:r>
              <w:t>3</w:t>
            </w:r>
            <w:r w:rsidR="001E0DD2">
              <w:t xml:space="preserve"> (1.</w:t>
            </w:r>
            <w:r w:rsidR="00A145C1">
              <w:t>32%)</w:t>
            </w:r>
          </w:p>
        </w:tc>
        <w:tc>
          <w:tcPr>
            <w:tcW w:w="512" w:type="pct"/>
          </w:tcPr>
          <w:p w14:paraId="0A375170" w14:textId="3AFCC27E" w:rsidR="002156D4" w:rsidRPr="006A73C4" w:rsidRDefault="00B8756B" w:rsidP="004E0253">
            <w:r>
              <w:t>23</w:t>
            </w:r>
            <w:r w:rsidR="00C22CD6">
              <w:t xml:space="preserve"> (0.92%)</w:t>
            </w:r>
          </w:p>
        </w:tc>
      </w:tr>
      <w:tr w:rsidR="00B8756B" w14:paraId="11D8C37B" w14:textId="77777777" w:rsidTr="005E7DC6">
        <w:tc>
          <w:tcPr>
            <w:tcW w:w="734" w:type="pct"/>
          </w:tcPr>
          <w:p w14:paraId="05A29C55" w14:textId="43CFF45D" w:rsidR="00B8756B" w:rsidRPr="00855742" w:rsidRDefault="00B8756B" w:rsidP="00B8756B">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£100,001 - £150,000</w:t>
            </w:r>
          </w:p>
        </w:tc>
        <w:tc>
          <w:tcPr>
            <w:tcW w:w="588" w:type="pct"/>
          </w:tcPr>
          <w:p w14:paraId="4A542293" w14:textId="77777777" w:rsidR="00B8756B" w:rsidRPr="0034715B" w:rsidRDefault="00B8756B" w:rsidP="00B8756B"/>
        </w:tc>
        <w:tc>
          <w:tcPr>
            <w:tcW w:w="590" w:type="pct"/>
          </w:tcPr>
          <w:p w14:paraId="18BF3600" w14:textId="5886BAB3" w:rsidR="00B8756B" w:rsidRPr="0034715B" w:rsidRDefault="00B8756B" w:rsidP="00B8756B">
            <w:r>
              <w:t>4</w:t>
            </w:r>
            <w:r w:rsidR="00560B9A">
              <w:t xml:space="preserve"> (0.26%)</w:t>
            </w:r>
          </w:p>
        </w:tc>
        <w:tc>
          <w:tcPr>
            <w:tcW w:w="662" w:type="pct"/>
          </w:tcPr>
          <w:p w14:paraId="7A87543F" w14:textId="32527D48" w:rsidR="00B8756B" w:rsidRPr="0034715B" w:rsidRDefault="00B8756B" w:rsidP="00B8756B"/>
        </w:tc>
        <w:tc>
          <w:tcPr>
            <w:tcW w:w="736" w:type="pct"/>
          </w:tcPr>
          <w:p w14:paraId="34B7E235" w14:textId="41EF72F7" w:rsidR="00B8756B" w:rsidRPr="0034715B" w:rsidRDefault="00B8756B" w:rsidP="00B8756B">
            <w:r>
              <w:t>14</w:t>
            </w:r>
            <w:r w:rsidR="00412AF1">
              <w:t xml:space="preserve"> (0.27%)</w:t>
            </w:r>
          </w:p>
        </w:tc>
        <w:tc>
          <w:tcPr>
            <w:tcW w:w="589" w:type="pct"/>
          </w:tcPr>
          <w:p w14:paraId="0D6DE5B2" w14:textId="77777777" w:rsidR="00B8756B" w:rsidRPr="0034715B" w:rsidRDefault="00B8756B" w:rsidP="00B8756B"/>
        </w:tc>
        <w:tc>
          <w:tcPr>
            <w:tcW w:w="589" w:type="pct"/>
          </w:tcPr>
          <w:p w14:paraId="4C119A5B" w14:textId="6EBC8781" w:rsidR="00B8756B" w:rsidRPr="0034715B" w:rsidRDefault="00B8756B" w:rsidP="00B8756B">
            <w:r>
              <w:t>1</w:t>
            </w:r>
            <w:r w:rsidR="00A145C1">
              <w:t xml:space="preserve"> (0.44%)</w:t>
            </w:r>
          </w:p>
        </w:tc>
        <w:tc>
          <w:tcPr>
            <w:tcW w:w="512" w:type="pct"/>
          </w:tcPr>
          <w:p w14:paraId="5A5B73D7" w14:textId="04FD4081" w:rsidR="00B8756B" w:rsidRPr="0034715B" w:rsidRDefault="00B8756B" w:rsidP="00B8756B">
            <w:r>
              <w:t>5</w:t>
            </w:r>
            <w:r w:rsidR="00C22CD6">
              <w:t xml:space="preserve"> (0.2%)</w:t>
            </w:r>
          </w:p>
        </w:tc>
      </w:tr>
      <w:tr w:rsidR="00B8756B" w14:paraId="1D8C5F0A" w14:textId="77777777" w:rsidTr="005E7DC6">
        <w:tc>
          <w:tcPr>
            <w:tcW w:w="734" w:type="pct"/>
          </w:tcPr>
          <w:p w14:paraId="07D966DE" w14:textId="2D26B609" w:rsidR="00B8756B" w:rsidRPr="00855742" w:rsidRDefault="00B8756B" w:rsidP="00B8756B">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Over £150,000</w:t>
            </w:r>
          </w:p>
        </w:tc>
        <w:tc>
          <w:tcPr>
            <w:tcW w:w="588" w:type="pct"/>
          </w:tcPr>
          <w:p w14:paraId="3A4BF903" w14:textId="78B4F8B6" w:rsidR="00B8756B" w:rsidRPr="0034715B" w:rsidRDefault="00B8756B" w:rsidP="00B8756B"/>
        </w:tc>
        <w:tc>
          <w:tcPr>
            <w:tcW w:w="590" w:type="pct"/>
          </w:tcPr>
          <w:p w14:paraId="0F9CC1EF" w14:textId="77777777" w:rsidR="00B8756B" w:rsidRPr="0034715B" w:rsidRDefault="00B8756B" w:rsidP="00B8756B"/>
        </w:tc>
        <w:tc>
          <w:tcPr>
            <w:tcW w:w="662" w:type="pct"/>
          </w:tcPr>
          <w:p w14:paraId="0BC89923" w14:textId="1D28B0EE" w:rsidR="00B8756B" w:rsidRPr="0034715B" w:rsidRDefault="00B8756B" w:rsidP="00B8756B"/>
        </w:tc>
        <w:tc>
          <w:tcPr>
            <w:tcW w:w="736" w:type="pct"/>
          </w:tcPr>
          <w:p w14:paraId="29A786BE" w14:textId="74DEB7E7" w:rsidR="00B8756B" w:rsidRPr="0034715B" w:rsidRDefault="00B8756B" w:rsidP="00B8756B">
            <w:r>
              <w:t>2</w:t>
            </w:r>
            <w:r w:rsidR="00412AF1">
              <w:t xml:space="preserve"> (0.04%)</w:t>
            </w:r>
          </w:p>
        </w:tc>
        <w:tc>
          <w:tcPr>
            <w:tcW w:w="589" w:type="pct"/>
          </w:tcPr>
          <w:p w14:paraId="1AE8F540" w14:textId="77777777" w:rsidR="00B8756B" w:rsidRPr="0034715B" w:rsidRDefault="00B8756B" w:rsidP="00B8756B"/>
        </w:tc>
        <w:tc>
          <w:tcPr>
            <w:tcW w:w="589" w:type="pct"/>
          </w:tcPr>
          <w:p w14:paraId="76156400" w14:textId="5A5C3451" w:rsidR="00B8756B" w:rsidRPr="0034715B" w:rsidRDefault="00B8756B" w:rsidP="00B8756B"/>
        </w:tc>
        <w:tc>
          <w:tcPr>
            <w:tcW w:w="512" w:type="pct"/>
          </w:tcPr>
          <w:p w14:paraId="2DAA4658" w14:textId="77777777" w:rsidR="00B8756B" w:rsidRPr="0034715B" w:rsidRDefault="00B8756B" w:rsidP="00B8756B"/>
        </w:tc>
      </w:tr>
      <w:tr w:rsidR="00B8756B" w14:paraId="6BE8D2D8" w14:textId="77777777" w:rsidTr="005E7DC6">
        <w:tc>
          <w:tcPr>
            <w:tcW w:w="734" w:type="pct"/>
          </w:tcPr>
          <w:p w14:paraId="2D362AFD" w14:textId="5DEDA812" w:rsidR="00B8756B" w:rsidRPr="00855742" w:rsidRDefault="00B8756B" w:rsidP="00B8756B">
            <w:pPr>
              <w:rPr>
                <w:rFonts w:asciiTheme="majorHAnsi" w:eastAsia="Times New Roman" w:hAnsiTheme="majorHAnsi" w:cs="Calibri"/>
                <w:color w:val="000000"/>
                <w:lang w:eastAsia="en-GB"/>
              </w:rPr>
            </w:pPr>
            <w:r w:rsidRPr="00855742">
              <w:rPr>
                <w:rFonts w:asciiTheme="majorHAnsi" w:eastAsia="Times New Roman" w:hAnsiTheme="majorHAnsi" w:cs="Calibri"/>
                <w:color w:val="000000"/>
                <w:lang w:eastAsia="en-GB"/>
              </w:rPr>
              <w:t>Do not wish to disclose</w:t>
            </w:r>
          </w:p>
        </w:tc>
        <w:tc>
          <w:tcPr>
            <w:tcW w:w="588" w:type="pct"/>
          </w:tcPr>
          <w:p w14:paraId="121BF678" w14:textId="0FF8AF96" w:rsidR="00B8756B" w:rsidRPr="0034715B" w:rsidRDefault="001269FF" w:rsidP="00B8756B">
            <w:r>
              <w:t>9</w:t>
            </w:r>
            <w:r w:rsidR="00594A4D">
              <w:t xml:space="preserve"> (14.75%)</w:t>
            </w:r>
          </w:p>
        </w:tc>
        <w:tc>
          <w:tcPr>
            <w:tcW w:w="590" w:type="pct"/>
          </w:tcPr>
          <w:p w14:paraId="55CB02CE" w14:textId="3134F0DA" w:rsidR="00B8756B" w:rsidRPr="0034715B" w:rsidRDefault="001269FF" w:rsidP="00B8756B">
            <w:r>
              <w:t>124</w:t>
            </w:r>
            <w:r w:rsidR="00560B9A">
              <w:t xml:space="preserve"> (8.21%)</w:t>
            </w:r>
          </w:p>
        </w:tc>
        <w:tc>
          <w:tcPr>
            <w:tcW w:w="662" w:type="pct"/>
          </w:tcPr>
          <w:p w14:paraId="68376EED" w14:textId="459DE329" w:rsidR="00B8756B" w:rsidRPr="0034715B" w:rsidRDefault="001269FF" w:rsidP="00B8756B">
            <w:r>
              <w:t>98</w:t>
            </w:r>
            <w:r w:rsidR="007D2405">
              <w:t xml:space="preserve"> (6.84%)</w:t>
            </w:r>
          </w:p>
        </w:tc>
        <w:tc>
          <w:tcPr>
            <w:tcW w:w="736" w:type="pct"/>
          </w:tcPr>
          <w:p w14:paraId="31A76EFD" w14:textId="3C29A642" w:rsidR="00B8756B" w:rsidRPr="0034715B" w:rsidRDefault="001269FF" w:rsidP="00B8756B">
            <w:r>
              <w:t>368</w:t>
            </w:r>
            <w:r w:rsidR="00412AF1">
              <w:t xml:space="preserve"> (7.12%)</w:t>
            </w:r>
          </w:p>
        </w:tc>
        <w:tc>
          <w:tcPr>
            <w:tcW w:w="589" w:type="pct"/>
          </w:tcPr>
          <w:p w14:paraId="7F59A12B" w14:textId="580952F2" w:rsidR="00B8756B" w:rsidRPr="0034715B" w:rsidRDefault="001269FF" w:rsidP="00B8756B">
            <w:r>
              <w:t>150</w:t>
            </w:r>
            <w:r w:rsidR="00383266">
              <w:t xml:space="preserve"> (6.76%)</w:t>
            </w:r>
          </w:p>
        </w:tc>
        <w:tc>
          <w:tcPr>
            <w:tcW w:w="589" w:type="pct"/>
          </w:tcPr>
          <w:p w14:paraId="2C88F6D8" w14:textId="5A57473F" w:rsidR="00B8756B" w:rsidRPr="0034715B" w:rsidRDefault="001269FF" w:rsidP="00B8756B">
            <w:r>
              <w:t>30</w:t>
            </w:r>
            <w:r w:rsidR="00A145C1">
              <w:t xml:space="preserve"> (13.22%)</w:t>
            </w:r>
          </w:p>
        </w:tc>
        <w:tc>
          <w:tcPr>
            <w:tcW w:w="512" w:type="pct"/>
          </w:tcPr>
          <w:p w14:paraId="1D7278A3" w14:textId="6B09715B" w:rsidR="00B8756B" w:rsidRPr="0034715B" w:rsidRDefault="001269FF" w:rsidP="00B8756B">
            <w:r>
              <w:t>157</w:t>
            </w:r>
            <w:r w:rsidR="00C22CD6">
              <w:t xml:space="preserve"> (6.28%)</w:t>
            </w:r>
          </w:p>
        </w:tc>
      </w:tr>
    </w:tbl>
    <w:p w14:paraId="77406DC0" w14:textId="77777777" w:rsidR="0006706E" w:rsidRDefault="0006706E" w:rsidP="005A046D"/>
    <w:p w14:paraId="2AB2E409" w14:textId="77777777" w:rsidR="002A37E1" w:rsidRDefault="002A37E1" w:rsidP="005A046D"/>
    <w:p w14:paraId="3F77D023" w14:textId="77777777" w:rsidR="002A37E1" w:rsidRDefault="002A37E1" w:rsidP="005A046D"/>
    <w:p w14:paraId="1A431D1F" w14:textId="77777777" w:rsidR="002A37E1" w:rsidRDefault="002A37E1" w:rsidP="005A046D"/>
    <w:p w14:paraId="33756630" w14:textId="77777777" w:rsidR="0045033F" w:rsidRDefault="0045033F" w:rsidP="0045033F">
      <w:pPr>
        <w:pStyle w:val="BodyText"/>
        <w:rPr>
          <w:b/>
          <w:bCs/>
          <w:noProof/>
        </w:rPr>
      </w:pPr>
    </w:p>
    <w:p w14:paraId="17C1B2E0" w14:textId="77777777" w:rsidR="0045033F" w:rsidRDefault="0045033F" w:rsidP="0045033F">
      <w:pPr>
        <w:pStyle w:val="BodyText"/>
        <w:rPr>
          <w:b/>
          <w:bCs/>
          <w:noProof/>
        </w:rPr>
      </w:pPr>
    </w:p>
    <w:p w14:paraId="4901DE07" w14:textId="77777777" w:rsidR="00DE7CE3" w:rsidRDefault="00DE7CE3" w:rsidP="0045033F">
      <w:pPr>
        <w:pStyle w:val="BodyText"/>
        <w:rPr>
          <w:b/>
          <w:bCs/>
          <w:noProof/>
        </w:rPr>
      </w:pPr>
    </w:p>
    <w:p w14:paraId="03FDC56D" w14:textId="77777777" w:rsidR="00DE7CE3" w:rsidRDefault="00DE7CE3" w:rsidP="0045033F">
      <w:pPr>
        <w:pStyle w:val="BodyText"/>
        <w:rPr>
          <w:b/>
          <w:bCs/>
          <w:noProof/>
        </w:rPr>
      </w:pPr>
    </w:p>
    <w:p w14:paraId="3B7A5E63" w14:textId="77777777" w:rsidR="00DE7CE3" w:rsidRDefault="00DE7CE3" w:rsidP="0045033F">
      <w:pPr>
        <w:pStyle w:val="BodyText"/>
        <w:rPr>
          <w:b/>
          <w:bCs/>
          <w:noProof/>
        </w:rPr>
      </w:pPr>
    </w:p>
    <w:p w14:paraId="2CE4BEE5" w14:textId="74EFBDCE" w:rsidR="0045033F" w:rsidRPr="004B088E" w:rsidRDefault="0045033F" w:rsidP="0045033F">
      <w:pPr>
        <w:pStyle w:val="BodyText"/>
        <w:rPr>
          <w:b/>
          <w:bCs/>
          <w:noProof/>
        </w:rPr>
      </w:pPr>
      <w:r w:rsidRPr="004B088E">
        <w:rPr>
          <w:b/>
          <w:bCs/>
          <w:noProof/>
        </w:rPr>
        <w:lastRenderedPageBreak/>
        <w:t xml:space="preserve">Table </w:t>
      </w:r>
      <w:r w:rsidR="004C5C51">
        <w:rPr>
          <w:b/>
          <w:bCs/>
          <w:noProof/>
        </w:rPr>
        <w:t>8</w:t>
      </w:r>
      <w:r w:rsidRPr="004B088E">
        <w:rPr>
          <w:b/>
          <w:bCs/>
          <w:noProof/>
        </w:rPr>
        <w:t xml:space="preserve">: </w:t>
      </w:r>
      <w:r>
        <w:rPr>
          <w:b/>
          <w:bCs/>
          <w:noProof/>
        </w:rPr>
        <w:t>Average unpaid client contact hours</w:t>
      </w:r>
    </w:p>
    <w:p w14:paraId="64C31860" w14:textId="77777777" w:rsidR="0045033F" w:rsidRDefault="0045033F" w:rsidP="005A046D"/>
    <w:p w14:paraId="10E2D3BA" w14:textId="77777777" w:rsidR="0045033F" w:rsidRDefault="0045033F" w:rsidP="005A046D"/>
    <w:tbl>
      <w:tblPr>
        <w:tblStyle w:val="TableGrid"/>
        <w:tblW w:w="5000" w:type="pct"/>
        <w:tblLook w:val="04A0" w:firstRow="1" w:lastRow="0" w:firstColumn="1" w:lastColumn="0" w:noHBand="0" w:noVBand="1"/>
      </w:tblPr>
      <w:tblGrid>
        <w:gridCol w:w="6020"/>
        <w:gridCol w:w="1804"/>
        <w:gridCol w:w="1804"/>
      </w:tblGrid>
      <w:tr w:rsidR="0045033F" w14:paraId="60709689" w14:textId="77777777" w:rsidTr="00FD0816">
        <w:trPr>
          <w:trHeight w:val="271"/>
        </w:trPr>
        <w:tc>
          <w:tcPr>
            <w:tcW w:w="3126" w:type="pct"/>
          </w:tcPr>
          <w:p w14:paraId="6D38EE04" w14:textId="4AA9CFB4" w:rsidR="0045033F" w:rsidRPr="004B088E" w:rsidRDefault="0045033F" w:rsidP="002A640A">
            <w:pPr>
              <w:pStyle w:val="BodyText"/>
              <w:rPr>
                <w:b/>
                <w:bCs/>
                <w:noProof/>
              </w:rPr>
            </w:pPr>
            <w:r>
              <w:rPr>
                <w:b/>
                <w:bCs/>
                <w:noProof/>
              </w:rPr>
              <w:t>Sector</w:t>
            </w:r>
          </w:p>
          <w:p w14:paraId="3C0FF907" w14:textId="77777777" w:rsidR="0045033F" w:rsidRPr="009C6A9D" w:rsidRDefault="0045033F" w:rsidP="002A640A">
            <w:pPr>
              <w:rPr>
                <w:b/>
                <w:bCs/>
                <w:noProof/>
              </w:rPr>
            </w:pPr>
          </w:p>
        </w:tc>
        <w:tc>
          <w:tcPr>
            <w:tcW w:w="937" w:type="pct"/>
          </w:tcPr>
          <w:p w14:paraId="4BD158D6" w14:textId="77777777" w:rsidR="0045033F" w:rsidRDefault="0045033F" w:rsidP="002A640A">
            <w:pPr>
              <w:rPr>
                <w:b/>
                <w:bCs/>
                <w:noProof/>
              </w:rPr>
            </w:pPr>
            <w:r>
              <w:rPr>
                <w:b/>
                <w:bCs/>
                <w:noProof/>
              </w:rPr>
              <w:t>N</w:t>
            </w:r>
          </w:p>
        </w:tc>
        <w:tc>
          <w:tcPr>
            <w:tcW w:w="937" w:type="pct"/>
          </w:tcPr>
          <w:p w14:paraId="3949D4AC" w14:textId="486BEE46" w:rsidR="0045033F" w:rsidRPr="009C6A9D" w:rsidRDefault="0045033F" w:rsidP="002A640A">
            <w:pPr>
              <w:rPr>
                <w:b/>
                <w:bCs/>
                <w:noProof/>
              </w:rPr>
            </w:pPr>
            <w:r>
              <w:rPr>
                <w:b/>
                <w:bCs/>
                <w:noProof/>
              </w:rPr>
              <w:t>Average unpaid client contact hours</w:t>
            </w:r>
          </w:p>
        </w:tc>
      </w:tr>
      <w:tr w:rsidR="00FD0816" w:rsidRPr="00FD0816" w14:paraId="4896D83A" w14:textId="77777777" w:rsidTr="00C8670A">
        <w:trPr>
          <w:trHeight w:val="288"/>
        </w:trPr>
        <w:tc>
          <w:tcPr>
            <w:tcW w:w="3126" w:type="pct"/>
            <w:noWrap/>
            <w:hideMark/>
          </w:tcPr>
          <w:p w14:paraId="79D8EDD5"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Criminal justice setting</w:t>
            </w:r>
          </w:p>
        </w:tc>
        <w:tc>
          <w:tcPr>
            <w:tcW w:w="937" w:type="pct"/>
            <w:noWrap/>
          </w:tcPr>
          <w:p w14:paraId="1228F899" w14:textId="5E66F657" w:rsidR="00FD0816" w:rsidRPr="00FD0816" w:rsidRDefault="004C5C51"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59</w:t>
            </w:r>
          </w:p>
        </w:tc>
        <w:tc>
          <w:tcPr>
            <w:tcW w:w="937" w:type="pct"/>
            <w:noWrap/>
          </w:tcPr>
          <w:p w14:paraId="48D5AE91" w14:textId="022C9B6D"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3.41</w:t>
            </w:r>
          </w:p>
        </w:tc>
      </w:tr>
      <w:tr w:rsidR="00FD0816" w:rsidRPr="00FD0816" w14:paraId="3E64B4FD" w14:textId="77777777" w:rsidTr="00C8670A">
        <w:trPr>
          <w:trHeight w:val="288"/>
        </w:trPr>
        <w:tc>
          <w:tcPr>
            <w:tcW w:w="3126" w:type="pct"/>
            <w:noWrap/>
            <w:hideMark/>
          </w:tcPr>
          <w:p w14:paraId="5DF203F5"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EAP/Workplace</w:t>
            </w:r>
          </w:p>
        </w:tc>
        <w:tc>
          <w:tcPr>
            <w:tcW w:w="937" w:type="pct"/>
            <w:noWrap/>
          </w:tcPr>
          <w:p w14:paraId="288EB482" w14:textId="48DA9490" w:rsidR="00FD0816" w:rsidRPr="00FD0816" w:rsidRDefault="004C5C51"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1456</w:t>
            </w:r>
          </w:p>
        </w:tc>
        <w:tc>
          <w:tcPr>
            <w:tcW w:w="937" w:type="pct"/>
            <w:noWrap/>
          </w:tcPr>
          <w:p w14:paraId="05AFA54A" w14:textId="21450E4A"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1.0</w:t>
            </w:r>
          </w:p>
        </w:tc>
      </w:tr>
      <w:tr w:rsidR="00FD0816" w:rsidRPr="00FD0816" w14:paraId="1E0BC672" w14:textId="77777777" w:rsidTr="00C8670A">
        <w:trPr>
          <w:trHeight w:val="288"/>
        </w:trPr>
        <w:tc>
          <w:tcPr>
            <w:tcW w:w="3126" w:type="pct"/>
            <w:noWrap/>
            <w:hideMark/>
          </w:tcPr>
          <w:p w14:paraId="38803516"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Education</w:t>
            </w:r>
          </w:p>
        </w:tc>
        <w:tc>
          <w:tcPr>
            <w:tcW w:w="937" w:type="pct"/>
            <w:noWrap/>
          </w:tcPr>
          <w:p w14:paraId="29816B67" w14:textId="42C62052"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2148</w:t>
            </w:r>
          </w:p>
        </w:tc>
        <w:tc>
          <w:tcPr>
            <w:tcW w:w="937" w:type="pct"/>
            <w:noWrap/>
          </w:tcPr>
          <w:p w14:paraId="65022329" w14:textId="7CE2AB03" w:rsidR="00FD0816" w:rsidRPr="00FD0816" w:rsidRDefault="00235D5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1.40</w:t>
            </w:r>
          </w:p>
        </w:tc>
      </w:tr>
      <w:tr w:rsidR="00FD0816" w:rsidRPr="00FD0816" w14:paraId="599DEC78" w14:textId="77777777" w:rsidTr="00C8670A">
        <w:trPr>
          <w:trHeight w:val="288"/>
        </w:trPr>
        <w:tc>
          <w:tcPr>
            <w:tcW w:w="3126" w:type="pct"/>
            <w:noWrap/>
            <w:hideMark/>
          </w:tcPr>
          <w:p w14:paraId="44C8C221"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Healthcare</w:t>
            </w:r>
          </w:p>
        </w:tc>
        <w:tc>
          <w:tcPr>
            <w:tcW w:w="937" w:type="pct"/>
            <w:noWrap/>
          </w:tcPr>
          <w:p w14:paraId="64CC4719" w14:textId="20B5639C"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1366</w:t>
            </w:r>
          </w:p>
        </w:tc>
        <w:tc>
          <w:tcPr>
            <w:tcW w:w="937" w:type="pct"/>
            <w:noWrap/>
          </w:tcPr>
          <w:p w14:paraId="0BD0857E" w14:textId="37D6EF83"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0.92</w:t>
            </w:r>
          </w:p>
        </w:tc>
      </w:tr>
      <w:tr w:rsidR="00FD0816" w:rsidRPr="00FD0816" w14:paraId="6006DC93" w14:textId="77777777" w:rsidTr="00C8670A">
        <w:trPr>
          <w:trHeight w:val="288"/>
        </w:trPr>
        <w:tc>
          <w:tcPr>
            <w:tcW w:w="3126" w:type="pct"/>
            <w:noWrap/>
            <w:hideMark/>
          </w:tcPr>
          <w:p w14:paraId="1A858C31"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Other</w:t>
            </w:r>
          </w:p>
        </w:tc>
        <w:tc>
          <w:tcPr>
            <w:tcW w:w="937" w:type="pct"/>
            <w:noWrap/>
          </w:tcPr>
          <w:p w14:paraId="105FEA0D" w14:textId="15E92AD3"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213</w:t>
            </w:r>
          </w:p>
        </w:tc>
        <w:tc>
          <w:tcPr>
            <w:tcW w:w="937" w:type="pct"/>
            <w:noWrap/>
          </w:tcPr>
          <w:p w14:paraId="4AA2BBAE" w14:textId="030EF8F8" w:rsidR="00FD0816" w:rsidRPr="00FD0816" w:rsidRDefault="00235D5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1.38</w:t>
            </w:r>
          </w:p>
        </w:tc>
      </w:tr>
      <w:tr w:rsidR="00FD0816" w:rsidRPr="00FD0816" w14:paraId="36FD2AE6" w14:textId="77777777" w:rsidTr="00C8670A">
        <w:trPr>
          <w:trHeight w:val="288"/>
        </w:trPr>
        <w:tc>
          <w:tcPr>
            <w:tcW w:w="3126" w:type="pct"/>
            <w:noWrap/>
            <w:hideMark/>
          </w:tcPr>
          <w:p w14:paraId="0248CF7E"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Private Practice</w:t>
            </w:r>
          </w:p>
        </w:tc>
        <w:tc>
          <w:tcPr>
            <w:tcW w:w="937" w:type="pct"/>
            <w:noWrap/>
          </w:tcPr>
          <w:p w14:paraId="3E4CD151" w14:textId="28851CEE"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5016</w:t>
            </w:r>
          </w:p>
        </w:tc>
        <w:tc>
          <w:tcPr>
            <w:tcW w:w="937" w:type="pct"/>
            <w:noWrap/>
          </w:tcPr>
          <w:p w14:paraId="2406E147" w14:textId="0BBDFAFA" w:rsidR="00FD0816" w:rsidRPr="00FD0816" w:rsidRDefault="00235D5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0.97</w:t>
            </w:r>
          </w:p>
        </w:tc>
      </w:tr>
      <w:tr w:rsidR="00FD0816" w:rsidRPr="00FD0816" w14:paraId="4CF7AF77" w14:textId="77777777" w:rsidTr="00C8670A">
        <w:trPr>
          <w:trHeight w:val="288"/>
        </w:trPr>
        <w:tc>
          <w:tcPr>
            <w:tcW w:w="3126" w:type="pct"/>
            <w:noWrap/>
            <w:hideMark/>
          </w:tcPr>
          <w:p w14:paraId="296385AF" w14:textId="77777777" w:rsidR="00FD0816" w:rsidRPr="00FD0816" w:rsidRDefault="00FD0816" w:rsidP="00FD0816">
            <w:pPr>
              <w:rPr>
                <w:rFonts w:asciiTheme="majorHAnsi" w:eastAsia="Times New Roman" w:hAnsiTheme="majorHAnsi" w:cs="Calibri"/>
                <w:color w:val="000000"/>
                <w:lang w:eastAsia="en-GB"/>
              </w:rPr>
            </w:pPr>
            <w:r w:rsidRPr="00FD0816">
              <w:rPr>
                <w:rFonts w:asciiTheme="majorHAnsi" w:eastAsia="Times New Roman" w:hAnsiTheme="majorHAnsi" w:cs="Calibri"/>
                <w:color w:val="000000"/>
                <w:lang w:eastAsia="en-GB"/>
              </w:rPr>
              <w:t>Third sector/Social care setting</w:t>
            </w:r>
          </w:p>
        </w:tc>
        <w:tc>
          <w:tcPr>
            <w:tcW w:w="937" w:type="pct"/>
            <w:noWrap/>
          </w:tcPr>
          <w:p w14:paraId="6A0C5307" w14:textId="0B76AD2C" w:rsidR="00FD0816" w:rsidRPr="00FD0816" w:rsidRDefault="00AD3857"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2395</w:t>
            </w:r>
          </w:p>
        </w:tc>
        <w:tc>
          <w:tcPr>
            <w:tcW w:w="937" w:type="pct"/>
            <w:noWrap/>
          </w:tcPr>
          <w:p w14:paraId="75DA262E" w14:textId="6F87B355" w:rsidR="00FD0816" w:rsidRPr="00FD0816" w:rsidRDefault="00235D5F" w:rsidP="00FD0816">
            <w:pPr>
              <w:rPr>
                <w:rFonts w:asciiTheme="majorHAnsi" w:eastAsia="Times New Roman" w:hAnsiTheme="majorHAnsi" w:cs="Calibri"/>
                <w:color w:val="000000"/>
                <w:lang w:eastAsia="en-GB"/>
              </w:rPr>
            </w:pPr>
            <w:r>
              <w:rPr>
                <w:rFonts w:asciiTheme="majorHAnsi" w:eastAsia="Times New Roman" w:hAnsiTheme="majorHAnsi" w:cs="Calibri"/>
                <w:color w:val="000000"/>
                <w:lang w:eastAsia="en-GB"/>
              </w:rPr>
              <w:t>1.80</w:t>
            </w:r>
          </w:p>
        </w:tc>
      </w:tr>
    </w:tbl>
    <w:p w14:paraId="25EC73F8" w14:textId="77777777" w:rsidR="0045033F" w:rsidRDefault="0045033F" w:rsidP="005A046D"/>
    <w:p w14:paraId="11496A5E" w14:textId="77777777" w:rsidR="004B4357" w:rsidRDefault="004B4357" w:rsidP="005A046D"/>
    <w:p w14:paraId="794D25CA"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B4C7900"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6E6E8DD1"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0FD0B5B1"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5936B53F"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3ABBDCCA"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4FDE6290"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17F40E47"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5B03041F"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36D40462"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17A3A376"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759DFE53"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385FA042"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0AE8B82F" w14:textId="77777777" w:rsidR="00B8700D" w:rsidRDefault="00B8700D" w:rsidP="004B4357">
      <w:pPr>
        <w:pStyle w:val="BodyText"/>
        <w:rPr>
          <w:rFonts w:asciiTheme="majorHAnsi" w:eastAsiaTheme="majorEastAsia" w:hAnsiTheme="majorHAnsi" w:cstheme="majorBidi"/>
          <w:b/>
          <w:bCs/>
          <w:color w:val="31006F" w:themeColor="accent2"/>
          <w:sz w:val="36"/>
          <w:szCs w:val="26"/>
        </w:rPr>
      </w:pPr>
    </w:p>
    <w:p w14:paraId="2F5ED3E2"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15F07E9A" w14:textId="77777777" w:rsidR="006A1F98" w:rsidRDefault="006A1F98" w:rsidP="006A1F98">
      <w:pPr>
        <w:pStyle w:val="Heading2"/>
      </w:pPr>
      <w:r>
        <w:lastRenderedPageBreak/>
        <w:br/>
        <w:t xml:space="preserve">Protected Characteristics </w:t>
      </w:r>
    </w:p>
    <w:p w14:paraId="4635AA1E" w14:textId="77777777" w:rsidR="006A1F98" w:rsidRPr="00FB04D8" w:rsidRDefault="006A1F98" w:rsidP="006A1F98">
      <w:pPr>
        <w:pStyle w:val="BodyText"/>
      </w:pPr>
      <w:r w:rsidRPr="00FB04D8">
        <w:t>Respondents were invited to complete questions relating to each of the protected characteristics. These questions are asked to help us to better understand our members and monitor changes over time. Responses to these questions help us to understand how representative responses are of our broader membership and to national data from the Office for National Statistics (ONS). We are also able to explore differences in responses to survey questions between demographic groups. </w:t>
      </w:r>
    </w:p>
    <w:p w14:paraId="13CC2861" w14:textId="77777777" w:rsidR="006A1F98" w:rsidRPr="00FB04D8" w:rsidRDefault="006A1F98" w:rsidP="006A1F98">
      <w:pPr>
        <w:pStyle w:val="BodyText"/>
      </w:pPr>
    </w:p>
    <w:p w14:paraId="1A35BECC" w14:textId="77777777" w:rsidR="006A1F98" w:rsidRPr="00FB04D8" w:rsidRDefault="006A1F98" w:rsidP="006A1F98">
      <w:pPr>
        <w:pStyle w:val="BodyText"/>
      </w:pPr>
      <w:r w:rsidRPr="00FB04D8">
        <w:t xml:space="preserve">The next few pages present the data relating to each of the protected characteristics alongside comparative data, where available, from the 2021 Census as reported by the Office for National Statistics. </w:t>
      </w:r>
    </w:p>
    <w:p w14:paraId="1AE55C5F" w14:textId="77777777" w:rsidR="006A1F98" w:rsidRPr="00FB04D8" w:rsidRDefault="006A1F98" w:rsidP="006A1F98">
      <w:pPr>
        <w:pStyle w:val="BodyText"/>
      </w:pPr>
    </w:p>
    <w:p w14:paraId="6C156E31" w14:textId="77777777" w:rsidR="006A1F98" w:rsidRPr="00FB04D8" w:rsidRDefault="006A1F98" w:rsidP="006A1F98">
      <w:pPr>
        <w:pStyle w:val="BodyText"/>
      </w:pPr>
      <w:r w:rsidRPr="00FB04D8">
        <w:t>Data ha</w:t>
      </w:r>
      <w:r>
        <w:t>s</w:t>
      </w:r>
      <w:r w:rsidRPr="00FB04D8">
        <w:t xml:space="preserve"> been combined to enable comparisons to be made, the full list of survey items and response options can be made available on request.</w:t>
      </w:r>
    </w:p>
    <w:p w14:paraId="0D314B29" w14:textId="77777777" w:rsidR="006A1F98" w:rsidRPr="00FB04D8" w:rsidRDefault="006A1F98" w:rsidP="006A1F98">
      <w:pPr>
        <w:pStyle w:val="BodyText"/>
      </w:pPr>
    </w:p>
    <w:p w14:paraId="371D1306" w14:textId="77777777" w:rsidR="006A1F98" w:rsidRPr="00E931F2" w:rsidRDefault="006A1F98" w:rsidP="006A1F98">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Age and Ethnicity</w:t>
      </w:r>
    </w:p>
    <w:p w14:paraId="7F57F575" w14:textId="77777777" w:rsidR="00400D43" w:rsidRPr="00400D43" w:rsidRDefault="00400D43" w:rsidP="00400D43">
      <w:pPr>
        <w:pStyle w:val="BodyText"/>
      </w:pPr>
      <w:proofErr w:type="gramStart"/>
      <w:r w:rsidRPr="00400D43">
        <w:t>The majority of</w:t>
      </w:r>
      <w:proofErr w:type="gramEnd"/>
      <w:r w:rsidRPr="00400D43">
        <w:t> respondents identify as white (88.52%) and between the ages of 45 and 65 years (26% 45-54; 37% 55-64).</w:t>
      </w:r>
    </w:p>
    <w:p w14:paraId="6C7094F1" w14:textId="77777777" w:rsidR="00400D43" w:rsidRPr="00400D43" w:rsidRDefault="00400D43" w:rsidP="00400D43">
      <w:pPr>
        <w:pStyle w:val="BodyText"/>
      </w:pPr>
      <w:r w:rsidRPr="00400D43">
        <w:t>Compared to national averages there is an under-representation of individuals from Asian and Black ethnicities:</w:t>
      </w:r>
    </w:p>
    <w:p w14:paraId="360EE31A" w14:textId="77777777" w:rsidR="00400D43" w:rsidRPr="00400D43" w:rsidRDefault="00400D43" w:rsidP="00400D43">
      <w:pPr>
        <w:pStyle w:val="BodyText"/>
      </w:pPr>
      <w:r w:rsidRPr="00400D43">
        <w:t>9.2% of the UK population would identify as Asian, compared with 2.7% of survey respondents</w:t>
      </w:r>
    </w:p>
    <w:p w14:paraId="742B3888" w14:textId="77777777" w:rsidR="00400D43" w:rsidRPr="00400D43" w:rsidRDefault="00400D43" w:rsidP="00400D43">
      <w:pPr>
        <w:pStyle w:val="BodyText"/>
      </w:pPr>
      <w:r w:rsidRPr="00400D43">
        <w:t>4% of the UK population identify as Black compared with 2.35% of survey respondents.</w:t>
      </w:r>
    </w:p>
    <w:p w14:paraId="1C03BCC6" w14:textId="0753BE91" w:rsidR="006A1F98" w:rsidRPr="004B088E" w:rsidRDefault="006A1F98" w:rsidP="006A1F98">
      <w:pPr>
        <w:pStyle w:val="BodyText"/>
        <w:rPr>
          <w:b/>
          <w:bCs/>
          <w:noProof/>
        </w:rPr>
      </w:pPr>
      <w:r>
        <w:rPr>
          <w:b/>
          <w:bCs/>
          <w:noProof/>
        </w:rPr>
        <w:br/>
      </w:r>
      <w:r w:rsidRPr="004B088E">
        <w:rPr>
          <w:b/>
          <w:bCs/>
          <w:noProof/>
        </w:rPr>
        <w:t xml:space="preserve">Table </w:t>
      </w:r>
      <w:r w:rsidR="00400D43">
        <w:rPr>
          <w:b/>
          <w:bCs/>
          <w:noProof/>
        </w:rPr>
        <w:t>9</w:t>
      </w:r>
      <w:r w:rsidRPr="004B088E">
        <w:rPr>
          <w:b/>
          <w:bCs/>
          <w:noProof/>
        </w:rPr>
        <w:t xml:space="preserve">: </w:t>
      </w:r>
      <w:r>
        <w:rPr>
          <w:b/>
          <w:bCs/>
          <w:noProof/>
        </w:rPr>
        <w:t>Age</w:t>
      </w:r>
    </w:p>
    <w:tbl>
      <w:tblPr>
        <w:tblStyle w:val="TableGrid"/>
        <w:tblW w:w="9735" w:type="dxa"/>
        <w:tblLook w:val="04A0" w:firstRow="1" w:lastRow="0" w:firstColumn="1" w:lastColumn="0" w:noHBand="0" w:noVBand="1"/>
      </w:tblPr>
      <w:tblGrid>
        <w:gridCol w:w="5010"/>
        <w:gridCol w:w="2291"/>
        <w:gridCol w:w="2434"/>
      </w:tblGrid>
      <w:tr w:rsidR="006A1F98" w14:paraId="451D1307" w14:textId="77777777" w:rsidTr="00235365">
        <w:trPr>
          <w:trHeight w:val="271"/>
        </w:trPr>
        <w:tc>
          <w:tcPr>
            <w:tcW w:w="5010" w:type="dxa"/>
          </w:tcPr>
          <w:p w14:paraId="566DB0B9" w14:textId="77777777" w:rsidR="006A1F98" w:rsidRPr="009C6A9D" w:rsidRDefault="006A1F98" w:rsidP="00235365">
            <w:pPr>
              <w:rPr>
                <w:b/>
                <w:bCs/>
                <w:noProof/>
              </w:rPr>
            </w:pPr>
            <w:r>
              <w:rPr>
                <w:b/>
                <w:bCs/>
                <w:noProof/>
              </w:rPr>
              <w:t xml:space="preserve">Age group </w:t>
            </w:r>
          </w:p>
        </w:tc>
        <w:tc>
          <w:tcPr>
            <w:tcW w:w="2291" w:type="dxa"/>
          </w:tcPr>
          <w:p w14:paraId="49219D45" w14:textId="54EFF1B5" w:rsidR="006A1F98" w:rsidRPr="009C6A9D" w:rsidRDefault="006A1F98" w:rsidP="00235365">
            <w:pPr>
              <w:rPr>
                <w:b/>
                <w:bCs/>
                <w:noProof/>
              </w:rPr>
            </w:pPr>
            <w:r>
              <w:rPr>
                <w:b/>
                <w:bCs/>
                <w:noProof/>
              </w:rPr>
              <w:t xml:space="preserve">Workforce </w:t>
            </w:r>
            <w:r w:rsidR="00400D43">
              <w:rPr>
                <w:b/>
                <w:bCs/>
                <w:noProof/>
              </w:rPr>
              <w:t>Practices</w:t>
            </w:r>
            <w:r>
              <w:rPr>
                <w:b/>
                <w:bCs/>
                <w:noProof/>
              </w:rPr>
              <w:t xml:space="preserve"> Survey percentage</w:t>
            </w:r>
          </w:p>
        </w:tc>
        <w:tc>
          <w:tcPr>
            <w:tcW w:w="2434" w:type="dxa"/>
          </w:tcPr>
          <w:p w14:paraId="299B47C5" w14:textId="77777777" w:rsidR="006A1F98" w:rsidRPr="009C6A9D" w:rsidRDefault="006A1F98" w:rsidP="00235365">
            <w:pPr>
              <w:rPr>
                <w:b/>
                <w:bCs/>
                <w:noProof/>
              </w:rPr>
            </w:pPr>
            <w:r>
              <w:rPr>
                <w:b/>
                <w:bCs/>
                <w:noProof/>
              </w:rPr>
              <w:t>ONS 2021</w:t>
            </w:r>
          </w:p>
        </w:tc>
      </w:tr>
      <w:tr w:rsidR="006A1F98" w14:paraId="762D4A79" w14:textId="77777777" w:rsidTr="00235365">
        <w:trPr>
          <w:trHeight w:val="255"/>
        </w:trPr>
        <w:tc>
          <w:tcPr>
            <w:tcW w:w="5010" w:type="dxa"/>
          </w:tcPr>
          <w:p w14:paraId="076FD1CE" w14:textId="77777777" w:rsidR="006A1F98" w:rsidRPr="00DD6E40" w:rsidRDefault="006A1F98" w:rsidP="00235365">
            <w:pPr>
              <w:rPr>
                <w:noProof/>
              </w:rPr>
            </w:pPr>
            <w:r>
              <w:rPr>
                <w:noProof/>
              </w:rPr>
              <w:t>16-24</w:t>
            </w:r>
          </w:p>
        </w:tc>
        <w:tc>
          <w:tcPr>
            <w:tcW w:w="2291" w:type="dxa"/>
          </w:tcPr>
          <w:p w14:paraId="67D092A4" w14:textId="210EE2DF" w:rsidR="006A1F98" w:rsidRPr="00DD6E40" w:rsidRDefault="00E24CE0" w:rsidP="00235365">
            <w:pPr>
              <w:rPr>
                <w:noProof/>
              </w:rPr>
            </w:pPr>
            <w:r>
              <w:rPr>
                <w:noProof/>
              </w:rPr>
              <w:t>0.35</w:t>
            </w:r>
          </w:p>
        </w:tc>
        <w:tc>
          <w:tcPr>
            <w:tcW w:w="2434" w:type="dxa"/>
          </w:tcPr>
          <w:p w14:paraId="4796905E" w14:textId="77777777" w:rsidR="006A1F98" w:rsidRPr="00DD6E40" w:rsidRDefault="006A1F98" w:rsidP="00235365">
            <w:pPr>
              <w:rPr>
                <w:noProof/>
              </w:rPr>
            </w:pPr>
            <w:r>
              <w:rPr>
                <w:noProof/>
              </w:rPr>
              <w:t>0%</w:t>
            </w:r>
          </w:p>
        </w:tc>
      </w:tr>
      <w:tr w:rsidR="006A1F98" w14:paraId="02A6F2B2" w14:textId="77777777" w:rsidTr="00235365">
        <w:trPr>
          <w:trHeight w:val="271"/>
        </w:trPr>
        <w:tc>
          <w:tcPr>
            <w:tcW w:w="5010" w:type="dxa"/>
          </w:tcPr>
          <w:p w14:paraId="428F0C7A" w14:textId="77777777" w:rsidR="006A1F98" w:rsidRPr="00DD6E40" w:rsidRDefault="006A1F98" w:rsidP="00235365">
            <w:pPr>
              <w:rPr>
                <w:noProof/>
              </w:rPr>
            </w:pPr>
            <w:r>
              <w:rPr>
                <w:noProof/>
              </w:rPr>
              <w:t>24-34</w:t>
            </w:r>
          </w:p>
        </w:tc>
        <w:tc>
          <w:tcPr>
            <w:tcW w:w="2291" w:type="dxa"/>
          </w:tcPr>
          <w:p w14:paraId="04DE7C5D" w14:textId="10B9BBB9" w:rsidR="006A1F98" w:rsidRPr="00DD6E40" w:rsidRDefault="00E24CE0" w:rsidP="00235365">
            <w:pPr>
              <w:rPr>
                <w:noProof/>
              </w:rPr>
            </w:pPr>
            <w:r>
              <w:rPr>
                <w:noProof/>
              </w:rPr>
              <w:t>4.78</w:t>
            </w:r>
          </w:p>
        </w:tc>
        <w:tc>
          <w:tcPr>
            <w:tcW w:w="2434" w:type="dxa"/>
          </w:tcPr>
          <w:p w14:paraId="6655BFAB" w14:textId="77777777" w:rsidR="006A1F98" w:rsidRPr="00DD6E40" w:rsidRDefault="006A1F98" w:rsidP="00235365">
            <w:pPr>
              <w:rPr>
                <w:noProof/>
              </w:rPr>
            </w:pPr>
            <w:r>
              <w:rPr>
                <w:noProof/>
              </w:rPr>
              <w:t>16.35%</w:t>
            </w:r>
          </w:p>
        </w:tc>
      </w:tr>
      <w:tr w:rsidR="006A1F98" w14:paraId="1CDC1ED8" w14:textId="77777777" w:rsidTr="00235365">
        <w:trPr>
          <w:trHeight w:val="271"/>
        </w:trPr>
        <w:tc>
          <w:tcPr>
            <w:tcW w:w="5010" w:type="dxa"/>
          </w:tcPr>
          <w:p w14:paraId="59B93589" w14:textId="77777777" w:rsidR="006A1F98" w:rsidRPr="00DD6E40" w:rsidRDefault="006A1F98" w:rsidP="00235365">
            <w:pPr>
              <w:rPr>
                <w:noProof/>
              </w:rPr>
            </w:pPr>
            <w:r>
              <w:rPr>
                <w:noProof/>
              </w:rPr>
              <w:t xml:space="preserve">35-44 </w:t>
            </w:r>
          </w:p>
        </w:tc>
        <w:tc>
          <w:tcPr>
            <w:tcW w:w="2291" w:type="dxa"/>
          </w:tcPr>
          <w:p w14:paraId="31479C51" w14:textId="0B5A1E20" w:rsidR="006A1F98" w:rsidRPr="00DD6E40" w:rsidRDefault="00E24CE0" w:rsidP="00235365">
            <w:pPr>
              <w:rPr>
                <w:noProof/>
              </w:rPr>
            </w:pPr>
            <w:r>
              <w:rPr>
                <w:noProof/>
              </w:rPr>
              <w:t>13.75</w:t>
            </w:r>
          </w:p>
        </w:tc>
        <w:tc>
          <w:tcPr>
            <w:tcW w:w="2434" w:type="dxa"/>
          </w:tcPr>
          <w:p w14:paraId="2344AE36" w14:textId="77777777" w:rsidR="006A1F98" w:rsidRPr="00DD6E40" w:rsidRDefault="006A1F98" w:rsidP="00235365">
            <w:pPr>
              <w:rPr>
                <w:noProof/>
              </w:rPr>
            </w:pPr>
            <w:r>
              <w:rPr>
                <w:noProof/>
              </w:rPr>
              <w:t>15.71%</w:t>
            </w:r>
          </w:p>
        </w:tc>
      </w:tr>
      <w:tr w:rsidR="006A1F98" w14:paraId="6ACFD8C8" w14:textId="77777777" w:rsidTr="00235365">
        <w:trPr>
          <w:trHeight w:val="255"/>
        </w:trPr>
        <w:tc>
          <w:tcPr>
            <w:tcW w:w="5010" w:type="dxa"/>
          </w:tcPr>
          <w:p w14:paraId="4397F40C" w14:textId="77777777" w:rsidR="006A1F98" w:rsidRPr="00DD6E40" w:rsidRDefault="006A1F98" w:rsidP="00235365">
            <w:pPr>
              <w:rPr>
                <w:noProof/>
              </w:rPr>
            </w:pPr>
            <w:r>
              <w:rPr>
                <w:noProof/>
              </w:rPr>
              <w:t>45-54</w:t>
            </w:r>
          </w:p>
        </w:tc>
        <w:tc>
          <w:tcPr>
            <w:tcW w:w="2291" w:type="dxa"/>
          </w:tcPr>
          <w:p w14:paraId="377A5750" w14:textId="0E546858" w:rsidR="006A1F98" w:rsidRPr="00DD6E40" w:rsidRDefault="00E24CE0" w:rsidP="00235365">
            <w:pPr>
              <w:rPr>
                <w:noProof/>
              </w:rPr>
            </w:pPr>
            <w:r>
              <w:rPr>
                <w:noProof/>
              </w:rPr>
              <w:t>26.42</w:t>
            </w:r>
          </w:p>
        </w:tc>
        <w:tc>
          <w:tcPr>
            <w:tcW w:w="2434" w:type="dxa"/>
          </w:tcPr>
          <w:p w14:paraId="6B746191" w14:textId="77777777" w:rsidR="006A1F98" w:rsidRPr="00DD6E40" w:rsidRDefault="006A1F98" w:rsidP="00235365">
            <w:pPr>
              <w:rPr>
                <w:noProof/>
              </w:rPr>
            </w:pPr>
            <w:r>
              <w:rPr>
                <w:noProof/>
              </w:rPr>
              <w:t>16.07%</w:t>
            </w:r>
          </w:p>
        </w:tc>
      </w:tr>
      <w:tr w:rsidR="006A1F98" w14:paraId="35027C26" w14:textId="77777777" w:rsidTr="00235365">
        <w:trPr>
          <w:trHeight w:val="255"/>
        </w:trPr>
        <w:tc>
          <w:tcPr>
            <w:tcW w:w="5010" w:type="dxa"/>
          </w:tcPr>
          <w:p w14:paraId="42BC5A15" w14:textId="77777777" w:rsidR="006A1F98" w:rsidRDefault="006A1F98" w:rsidP="00235365">
            <w:pPr>
              <w:rPr>
                <w:noProof/>
              </w:rPr>
            </w:pPr>
            <w:r>
              <w:rPr>
                <w:noProof/>
              </w:rPr>
              <w:t>55-64</w:t>
            </w:r>
          </w:p>
        </w:tc>
        <w:tc>
          <w:tcPr>
            <w:tcW w:w="2291" w:type="dxa"/>
          </w:tcPr>
          <w:p w14:paraId="4ED8A0FC" w14:textId="59D9FFE1" w:rsidR="006A1F98" w:rsidRDefault="00E24CE0" w:rsidP="00235365">
            <w:pPr>
              <w:rPr>
                <w:noProof/>
              </w:rPr>
            </w:pPr>
            <w:r>
              <w:rPr>
                <w:noProof/>
              </w:rPr>
              <w:t>36.65</w:t>
            </w:r>
          </w:p>
        </w:tc>
        <w:tc>
          <w:tcPr>
            <w:tcW w:w="2434" w:type="dxa"/>
          </w:tcPr>
          <w:p w14:paraId="67A4B6B7" w14:textId="77777777" w:rsidR="006A1F98" w:rsidRDefault="006A1F98" w:rsidP="00235365">
            <w:pPr>
              <w:rPr>
                <w:noProof/>
              </w:rPr>
            </w:pPr>
            <w:r>
              <w:rPr>
                <w:noProof/>
              </w:rPr>
              <w:t>15.20%</w:t>
            </w:r>
          </w:p>
        </w:tc>
      </w:tr>
      <w:tr w:rsidR="006A1F98" w14:paraId="7CB0BAFB" w14:textId="77777777" w:rsidTr="00235365">
        <w:trPr>
          <w:trHeight w:val="255"/>
        </w:trPr>
        <w:tc>
          <w:tcPr>
            <w:tcW w:w="5010" w:type="dxa"/>
          </w:tcPr>
          <w:p w14:paraId="3B618656" w14:textId="77777777" w:rsidR="006A1F98" w:rsidRDefault="006A1F98" w:rsidP="00235365">
            <w:pPr>
              <w:rPr>
                <w:noProof/>
              </w:rPr>
            </w:pPr>
            <w:r>
              <w:rPr>
                <w:noProof/>
              </w:rPr>
              <w:t>65-74</w:t>
            </w:r>
          </w:p>
        </w:tc>
        <w:tc>
          <w:tcPr>
            <w:tcW w:w="2291" w:type="dxa"/>
          </w:tcPr>
          <w:p w14:paraId="276B647D" w14:textId="6CFF08D4" w:rsidR="006A1F98" w:rsidRDefault="00E24CE0" w:rsidP="00235365">
            <w:pPr>
              <w:rPr>
                <w:noProof/>
              </w:rPr>
            </w:pPr>
            <w:r>
              <w:rPr>
                <w:noProof/>
              </w:rPr>
              <w:t>13.77</w:t>
            </w:r>
          </w:p>
        </w:tc>
        <w:tc>
          <w:tcPr>
            <w:tcW w:w="2434" w:type="dxa"/>
          </w:tcPr>
          <w:p w14:paraId="5DFAE1AE" w14:textId="77777777" w:rsidR="006A1F98" w:rsidRDefault="006A1F98" w:rsidP="00235365">
            <w:pPr>
              <w:rPr>
                <w:noProof/>
              </w:rPr>
            </w:pPr>
            <w:r>
              <w:rPr>
                <w:noProof/>
              </w:rPr>
              <w:t>12.03%</w:t>
            </w:r>
          </w:p>
        </w:tc>
      </w:tr>
      <w:tr w:rsidR="006A1F98" w14:paraId="5B187FB4" w14:textId="77777777" w:rsidTr="00235365">
        <w:trPr>
          <w:trHeight w:val="255"/>
        </w:trPr>
        <w:tc>
          <w:tcPr>
            <w:tcW w:w="5010" w:type="dxa"/>
          </w:tcPr>
          <w:p w14:paraId="2302292B" w14:textId="77777777" w:rsidR="006A1F98" w:rsidRDefault="006A1F98" w:rsidP="00235365">
            <w:pPr>
              <w:rPr>
                <w:noProof/>
              </w:rPr>
            </w:pPr>
            <w:r>
              <w:rPr>
                <w:noProof/>
              </w:rPr>
              <w:t xml:space="preserve">75 and over </w:t>
            </w:r>
          </w:p>
        </w:tc>
        <w:tc>
          <w:tcPr>
            <w:tcW w:w="2291" w:type="dxa"/>
          </w:tcPr>
          <w:p w14:paraId="24F2255F" w14:textId="685122B1" w:rsidR="006A1F98" w:rsidRDefault="00E24CE0" w:rsidP="00235365">
            <w:pPr>
              <w:rPr>
                <w:noProof/>
              </w:rPr>
            </w:pPr>
            <w:r>
              <w:rPr>
                <w:noProof/>
              </w:rPr>
              <w:t>2.64</w:t>
            </w:r>
          </w:p>
        </w:tc>
        <w:tc>
          <w:tcPr>
            <w:tcW w:w="2434" w:type="dxa"/>
          </w:tcPr>
          <w:p w14:paraId="789083AD" w14:textId="77777777" w:rsidR="006A1F98" w:rsidRDefault="006A1F98" w:rsidP="00235365">
            <w:pPr>
              <w:rPr>
                <w:noProof/>
              </w:rPr>
            </w:pPr>
            <w:r>
              <w:rPr>
                <w:noProof/>
              </w:rPr>
              <w:t>0%</w:t>
            </w:r>
          </w:p>
        </w:tc>
      </w:tr>
      <w:tr w:rsidR="006A1F98" w14:paraId="1F74DD1D" w14:textId="77777777" w:rsidTr="00235365">
        <w:trPr>
          <w:trHeight w:val="255"/>
        </w:trPr>
        <w:tc>
          <w:tcPr>
            <w:tcW w:w="5010" w:type="dxa"/>
          </w:tcPr>
          <w:p w14:paraId="55E7FFF8" w14:textId="77777777" w:rsidR="006A1F98" w:rsidRDefault="006A1F98" w:rsidP="00235365">
            <w:pPr>
              <w:rPr>
                <w:noProof/>
              </w:rPr>
            </w:pPr>
            <w:r>
              <w:rPr>
                <w:noProof/>
              </w:rPr>
              <w:t>Prefer not to say</w:t>
            </w:r>
          </w:p>
        </w:tc>
        <w:tc>
          <w:tcPr>
            <w:tcW w:w="2291" w:type="dxa"/>
          </w:tcPr>
          <w:p w14:paraId="4053B64B" w14:textId="698032F7" w:rsidR="006A1F98" w:rsidRDefault="00E24CE0" w:rsidP="00235365">
            <w:pPr>
              <w:rPr>
                <w:noProof/>
              </w:rPr>
            </w:pPr>
            <w:r>
              <w:rPr>
                <w:noProof/>
              </w:rPr>
              <w:t>1.64</w:t>
            </w:r>
          </w:p>
        </w:tc>
        <w:tc>
          <w:tcPr>
            <w:tcW w:w="2434" w:type="dxa"/>
          </w:tcPr>
          <w:p w14:paraId="668535FB" w14:textId="77777777" w:rsidR="006A1F98" w:rsidRDefault="006A1F98" w:rsidP="00235365">
            <w:pPr>
              <w:rPr>
                <w:noProof/>
              </w:rPr>
            </w:pPr>
            <w:r>
              <w:rPr>
                <w:noProof/>
              </w:rPr>
              <w:t>0%</w:t>
            </w:r>
          </w:p>
        </w:tc>
      </w:tr>
    </w:tbl>
    <w:p w14:paraId="61536FD5" w14:textId="77777777" w:rsidR="006A1F98" w:rsidRDefault="006A1F98" w:rsidP="006A1F98">
      <w:pPr>
        <w:pStyle w:val="Heading1"/>
      </w:pPr>
    </w:p>
    <w:p w14:paraId="58F63776" w14:textId="77777777" w:rsidR="006A1F98" w:rsidRDefault="006A1F98" w:rsidP="006A1F98">
      <w:pPr>
        <w:pStyle w:val="BodyText"/>
      </w:pPr>
    </w:p>
    <w:p w14:paraId="78BA9815" w14:textId="77777777" w:rsidR="006A1F98" w:rsidRDefault="006A1F98" w:rsidP="006A1F98">
      <w:pPr>
        <w:pStyle w:val="BodyText"/>
      </w:pPr>
    </w:p>
    <w:p w14:paraId="29696540" w14:textId="77777777" w:rsidR="006A1F98" w:rsidRPr="00587C0F" w:rsidRDefault="006A1F98" w:rsidP="006A1F98">
      <w:pPr>
        <w:pStyle w:val="BodyText"/>
      </w:pPr>
    </w:p>
    <w:p w14:paraId="4B5E1966" w14:textId="1DF2319D" w:rsidR="006A1F98" w:rsidRPr="004B088E" w:rsidRDefault="006A1F98" w:rsidP="006A1F98">
      <w:pPr>
        <w:pStyle w:val="BodyText"/>
        <w:rPr>
          <w:b/>
          <w:bCs/>
          <w:noProof/>
        </w:rPr>
      </w:pPr>
      <w:r w:rsidRPr="004B088E">
        <w:rPr>
          <w:b/>
          <w:bCs/>
          <w:noProof/>
        </w:rPr>
        <w:t xml:space="preserve">Table </w:t>
      </w:r>
      <w:r w:rsidR="00E24CE0">
        <w:rPr>
          <w:b/>
          <w:bCs/>
          <w:noProof/>
        </w:rPr>
        <w:t>10</w:t>
      </w:r>
      <w:r w:rsidRPr="004B088E">
        <w:rPr>
          <w:b/>
          <w:bCs/>
          <w:noProof/>
        </w:rPr>
        <w:t xml:space="preserve">: </w:t>
      </w:r>
      <w:r>
        <w:rPr>
          <w:b/>
          <w:bCs/>
          <w:noProof/>
        </w:rPr>
        <w:t>Ethnicity</w:t>
      </w:r>
    </w:p>
    <w:tbl>
      <w:tblPr>
        <w:tblStyle w:val="TableGrid"/>
        <w:tblW w:w="9735" w:type="dxa"/>
        <w:tblLook w:val="04A0" w:firstRow="1" w:lastRow="0" w:firstColumn="1" w:lastColumn="0" w:noHBand="0" w:noVBand="1"/>
      </w:tblPr>
      <w:tblGrid>
        <w:gridCol w:w="5010"/>
        <w:gridCol w:w="2291"/>
        <w:gridCol w:w="2434"/>
      </w:tblGrid>
      <w:tr w:rsidR="006A1F98" w14:paraId="7D66AD9D" w14:textId="77777777" w:rsidTr="00235365">
        <w:trPr>
          <w:trHeight w:val="271"/>
        </w:trPr>
        <w:tc>
          <w:tcPr>
            <w:tcW w:w="5010" w:type="dxa"/>
          </w:tcPr>
          <w:p w14:paraId="74012D07" w14:textId="77777777" w:rsidR="006A1F98" w:rsidRPr="009C6A9D" w:rsidRDefault="006A1F98" w:rsidP="00235365">
            <w:pPr>
              <w:rPr>
                <w:b/>
                <w:bCs/>
                <w:noProof/>
              </w:rPr>
            </w:pPr>
            <w:r>
              <w:rPr>
                <w:b/>
                <w:bCs/>
                <w:noProof/>
              </w:rPr>
              <w:t xml:space="preserve">Ethnicity </w:t>
            </w:r>
          </w:p>
        </w:tc>
        <w:tc>
          <w:tcPr>
            <w:tcW w:w="2291" w:type="dxa"/>
          </w:tcPr>
          <w:p w14:paraId="6C29509D" w14:textId="1CDB693A" w:rsidR="006A1F98" w:rsidRPr="009C6A9D" w:rsidRDefault="006A1F98" w:rsidP="00235365">
            <w:pPr>
              <w:rPr>
                <w:b/>
                <w:bCs/>
                <w:noProof/>
              </w:rPr>
            </w:pPr>
            <w:r>
              <w:rPr>
                <w:b/>
                <w:bCs/>
                <w:noProof/>
              </w:rPr>
              <w:t xml:space="preserve">Workforce </w:t>
            </w:r>
            <w:r w:rsidR="00E24CE0">
              <w:rPr>
                <w:b/>
                <w:bCs/>
                <w:noProof/>
              </w:rPr>
              <w:t>Practices</w:t>
            </w:r>
            <w:r>
              <w:rPr>
                <w:b/>
                <w:bCs/>
                <w:noProof/>
              </w:rPr>
              <w:t xml:space="preserve"> Survey percentage</w:t>
            </w:r>
          </w:p>
        </w:tc>
        <w:tc>
          <w:tcPr>
            <w:tcW w:w="2434" w:type="dxa"/>
          </w:tcPr>
          <w:p w14:paraId="0806869B" w14:textId="77777777" w:rsidR="006A1F98" w:rsidRPr="009C6A9D" w:rsidRDefault="006A1F98" w:rsidP="00235365">
            <w:pPr>
              <w:rPr>
                <w:b/>
                <w:bCs/>
                <w:noProof/>
              </w:rPr>
            </w:pPr>
            <w:r>
              <w:rPr>
                <w:b/>
                <w:bCs/>
                <w:noProof/>
              </w:rPr>
              <w:t>ONS 2021</w:t>
            </w:r>
          </w:p>
        </w:tc>
      </w:tr>
      <w:tr w:rsidR="006A1F98" w14:paraId="28EF969E" w14:textId="77777777" w:rsidTr="00235365">
        <w:trPr>
          <w:trHeight w:val="255"/>
        </w:trPr>
        <w:tc>
          <w:tcPr>
            <w:tcW w:w="5010" w:type="dxa"/>
          </w:tcPr>
          <w:p w14:paraId="671F60E9" w14:textId="77777777" w:rsidR="006A1F98" w:rsidRPr="00DD6E40" w:rsidRDefault="006A1F98" w:rsidP="00235365">
            <w:pPr>
              <w:rPr>
                <w:noProof/>
              </w:rPr>
            </w:pPr>
            <w:r>
              <w:rPr>
                <w:noProof/>
              </w:rPr>
              <w:t>White</w:t>
            </w:r>
          </w:p>
        </w:tc>
        <w:tc>
          <w:tcPr>
            <w:tcW w:w="2291" w:type="dxa"/>
          </w:tcPr>
          <w:p w14:paraId="39D5B4AB" w14:textId="74E29CAA" w:rsidR="006A1F98" w:rsidRPr="00DD6E40" w:rsidRDefault="00366E34" w:rsidP="00235365">
            <w:pPr>
              <w:rPr>
                <w:noProof/>
              </w:rPr>
            </w:pPr>
            <w:r>
              <w:rPr>
                <w:noProof/>
              </w:rPr>
              <w:t>88.52</w:t>
            </w:r>
          </w:p>
        </w:tc>
        <w:tc>
          <w:tcPr>
            <w:tcW w:w="2434" w:type="dxa"/>
          </w:tcPr>
          <w:p w14:paraId="5680DEC9" w14:textId="77777777" w:rsidR="006A1F98" w:rsidRPr="00DD6E40" w:rsidRDefault="006A1F98" w:rsidP="00235365">
            <w:pPr>
              <w:rPr>
                <w:noProof/>
              </w:rPr>
            </w:pPr>
            <w:r>
              <w:rPr>
                <w:noProof/>
              </w:rPr>
              <w:t>81.58%</w:t>
            </w:r>
          </w:p>
        </w:tc>
      </w:tr>
      <w:tr w:rsidR="006A1F98" w14:paraId="0542F9B9" w14:textId="77777777" w:rsidTr="00235365">
        <w:trPr>
          <w:trHeight w:val="271"/>
        </w:trPr>
        <w:tc>
          <w:tcPr>
            <w:tcW w:w="5010" w:type="dxa"/>
          </w:tcPr>
          <w:p w14:paraId="0A71FDD3" w14:textId="77777777" w:rsidR="006A1F98" w:rsidRPr="00DD6E40" w:rsidRDefault="006A1F98" w:rsidP="00235365">
            <w:pPr>
              <w:rPr>
                <w:noProof/>
              </w:rPr>
            </w:pPr>
            <w:r>
              <w:rPr>
                <w:noProof/>
              </w:rPr>
              <w:t>Other</w:t>
            </w:r>
          </w:p>
        </w:tc>
        <w:tc>
          <w:tcPr>
            <w:tcW w:w="2291" w:type="dxa"/>
          </w:tcPr>
          <w:p w14:paraId="522333A2" w14:textId="410D4F3E" w:rsidR="006A1F98" w:rsidRPr="00DD6E40" w:rsidRDefault="00366E34" w:rsidP="00235365">
            <w:pPr>
              <w:rPr>
                <w:noProof/>
              </w:rPr>
            </w:pPr>
            <w:r>
              <w:rPr>
                <w:noProof/>
              </w:rPr>
              <w:t>3.54</w:t>
            </w:r>
          </w:p>
        </w:tc>
        <w:tc>
          <w:tcPr>
            <w:tcW w:w="2434" w:type="dxa"/>
          </w:tcPr>
          <w:p w14:paraId="2B80BF98" w14:textId="77777777" w:rsidR="006A1F98" w:rsidRPr="00DD6E40" w:rsidRDefault="006A1F98" w:rsidP="00235365">
            <w:pPr>
              <w:rPr>
                <w:noProof/>
              </w:rPr>
            </w:pPr>
            <w:r>
              <w:rPr>
                <w:noProof/>
              </w:rPr>
              <w:t>2.20%</w:t>
            </w:r>
          </w:p>
        </w:tc>
      </w:tr>
      <w:tr w:rsidR="006A1F98" w14:paraId="415B6EE5" w14:textId="77777777" w:rsidTr="00235365">
        <w:trPr>
          <w:trHeight w:val="271"/>
        </w:trPr>
        <w:tc>
          <w:tcPr>
            <w:tcW w:w="5010" w:type="dxa"/>
          </w:tcPr>
          <w:p w14:paraId="7572D6F7" w14:textId="77777777" w:rsidR="006A1F98" w:rsidRPr="00DD6E40" w:rsidRDefault="006A1F98" w:rsidP="00235365">
            <w:pPr>
              <w:rPr>
                <w:noProof/>
              </w:rPr>
            </w:pPr>
            <w:r>
              <w:rPr>
                <w:noProof/>
              </w:rPr>
              <w:t>Asian</w:t>
            </w:r>
          </w:p>
        </w:tc>
        <w:tc>
          <w:tcPr>
            <w:tcW w:w="2291" w:type="dxa"/>
          </w:tcPr>
          <w:p w14:paraId="51ADBABD" w14:textId="64BA7247" w:rsidR="006A1F98" w:rsidRPr="00DD6E40" w:rsidRDefault="00366E34" w:rsidP="00235365">
            <w:pPr>
              <w:rPr>
                <w:noProof/>
              </w:rPr>
            </w:pPr>
            <w:r>
              <w:rPr>
                <w:noProof/>
              </w:rPr>
              <w:t>2.70</w:t>
            </w:r>
          </w:p>
        </w:tc>
        <w:tc>
          <w:tcPr>
            <w:tcW w:w="2434" w:type="dxa"/>
          </w:tcPr>
          <w:p w14:paraId="10E1CBFD" w14:textId="77777777" w:rsidR="006A1F98" w:rsidRPr="00DD6E40" w:rsidRDefault="006A1F98" w:rsidP="00235365">
            <w:pPr>
              <w:rPr>
                <w:noProof/>
              </w:rPr>
            </w:pPr>
            <w:r>
              <w:rPr>
                <w:noProof/>
              </w:rPr>
              <w:t>9.21%</w:t>
            </w:r>
          </w:p>
        </w:tc>
      </w:tr>
      <w:tr w:rsidR="006A1F98" w14:paraId="29265CAA" w14:textId="77777777" w:rsidTr="00235365">
        <w:trPr>
          <w:trHeight w:val="255"/>
        </w:trPr>
        <w:tc>
          <w:tcPr>
            <w:tcW w:w="5010" w:type="dxa"/>
          </w:tcPr>
          <w:p w14:paraId="6BBA13B1" w14:textId="77777777" w:rsidR="006A1F98" w:rsidRPr="00DD6E40" w:rsidRDefault="006A1F98" w:rsidP="00235365">
            <w:pPr>
              <w:rPr>
                <w:noProof/>
              </w:rPr>
            </w:pPr>
            <w:r>
              <w:rPr>
                <w:noProof/>
              </w:rPr>
              <w:t xml:space="preserve">Black </w:t>
            </w:r>
          </w:p>
        </w:tc>
        <w:tc>
          <w:tcPr>
            <w:tcW w:w="2291" w:type="dxa"/>
          </w:tcPr>
          <w:p w14:paraId="5C925899" w14:textId="4D273091" w:rsidR="006A1F98" w:rsidRPr="00DD6E40" w:rsidRDefault="00366E34" w:rsidP="00235365">
            <w:pPr>
              <w:rPr>
                <w:noProof/>
              </w:rPr>
            </w:pPr>
            <w:r>
              <w:rPr>
                <w:noProof/>
              </w:rPr>
              <w:t>2.35</w:t>
            </w:r>
          </w:p>
        </w:tc>
        <w:tc>
          <w:tcPr>
            <w:tcW w:w="2434" w:type="dxa"/>
          </w:tcPr>
          <w:p w14:paraId="755DC39D" w14:textId="77777777" w:rsidR="006A1F98" w:rsidRPr="00DD6E40" w:rsidRDefault="006A1F98" w:rsidP="00235365">
            <w:pPr>
              <w:rPr>
                <w:noProof/>
              </w:rPr>
            </w:pPr>
            <w:r>
              <w:rPr>
                <w:noProof/>
              </w:rPr>
              <w:t>4.00%</w:t>
            </w:r>
          </w:p>
        </w:tc>
      </w:tr>
      <w:tr w:rsidR="006A1F98" w14:paraId="4218BF3B" w14:textId="77777777" w:rsidTr="00235365">
        <w:trPr>
          <w:trHeight w:val="255"/>
        </w:trPr>
        <w:tc>
          <w:tcPr>
            <w:tcW w:w="5010" w:type="dxa"/>
          </w:tcPr>
          <w:p w14:paraId="3FBDBEB3" w14:textId="77777777" w:rsidR="006A1F98" w:rsidRDefault="006A1F98" w:rsidP="00235365">
            <w:pPr>
              <w:rPr>
                <w:noProof/>
              </w:rPr>
            </w:pPr>
            <w:r>
              <w:rPr>
                <w:noProof/>
              </w:rPr>
              <w:t>Mixed or multiple ethnic groups</w:t>
            </w:r>
          </w:p>
        </w:tc>
        <w:tc>
          <w:tcPr>
            <w:tcW w:w="2291" w:type="dxa"/>
          </w:tcPr>
          <w:p w14:paraId="6D49A3CE" w14:textId="488F5AF4" w:rsidR="006A1F98" w:rsidRDefault="00366E34" w:rsidP="00235365">
            <w:pPr>
              <w:rPr>
                <w:noProof/>
              </w:rPr>
            </w:pPr>
            <w:r>
              <w:rPr>
                <w:noProof/>
              </w:rPr>
              <w:t>2.89</w:t>
            </w:r>
          </w:p>
        </w:tc>
        <w:tc>
          <w:tcPr>
            <w:tcW w:w="2434" w:type="dxa"/>
          </w:tcPr>
          <w:p w14:paraId="3D1DFA51" w14:textId="77777777" w:rsidR="006A1F98" w:rsidRDefault="006A1F98" w:rsidP="00235365">
            <w:pPr>
              <w:rPr>
                <w:noProof/>
              </w:rPr>
            </w:pPr>
            <w:r>
              <w:rPr>
                <w:noProof/>
              </w:rPr>
              <w:t>2.90%</w:t>
            </w:r>
          </w:p>
        </w:tc>
      </w:tr>
    </w:tbl>
    <w:p w14:paraId="6545D8FA" w14:textId="77777777" w:rsidR="006A1F98" w:rsidRDefault="006A1F98" w:rsidP="006A1F98">
      <w:pPr>
        <w:pStyle w:val="Heading1"/>
      </w:pPr>
    </w:p>
    <w:p w14:paraId="43A1E4D5" w14:textId="77777777" w:rsidR="006A1F98" w:rsidRPr="00E931F2" w:rsidRDefault="006A1F98" w:rsidP="006A1F98">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Gender, Sex and Sexual Orientation</w:t>
      </w:r>
    </w:p>
    <w:p w14:paraId="2B55EB83" w14:textId="77777777" w:rsidR="00435C37" w:rsidRDefault="00435C37" w:rsidP="006A1F98">
      <w:pPr>
        <w:pStyle w:val="BodyText"/>
        <w:rPr>
          <w:b/>
          <w:bCs/>
        </w:rPr>
      </w:pPr>
      <w:proofErr w:type="gramStart"/>
      <w:r w:rsidRPr="00435C37">
        <w:t>The majority of</w:t>
      </w:r>
      <w:proofErr w:type="gramEnd"/>
      <w:r w:rsidRPr="00435C37">
        <w:t> respondents to this survey identify as heterosexual (78.24%), and as A Woman (79.57%).</w:t>
      </w:r>
      <w:r w:rsidRPr="00435C37">
        <w:rPr>
          <w:b/>
          <w:bCs/>
        </w:rPr>
        <w:t xml:space="preserve"> </w:t>
      </w:r>
    </w:p>
    <w:p w14:paraId="5B826574" w14:textId="066ED5F3" w:rsidR="006A1F98" w:rsidRPr="004B088E" w:rsidRDefault="006A1F98" w:rsidP="006A1F98">
      <w:pPr>
        <w:pStyle w:val="BodyText"/>
        <w:rPr>
          <w:b/>
          <w:bCs/>
          <w:noProof/>
        </w:rPr>
      </w:pPr>
      <w:r w:rsidRPr="004B088E">
        <w:rPr>
          <w:b/>
          <w:bCs/>
          <w:noProof/>
        </w:rPr>
        <w:t xml:space="preserve">Table </w:t>
      </w:r>
      <w:r w:rsidR="00435C37">
        <w:rPr>
          <w:b/>
          <w:bCs/>
          <w:noProof/>
        </w:rPr>
        <w:t>11</w:t>
      </w:r>
      <w:r w:rsidRPr="004B088E">
        <w:rPr>
          <w:b/>
          <w:bCs/>
          <w:noProof/>
        </w:rPr>
        <w:t xml:space="preserve">: </w:t>
      </w:r>
      <w:r>
        <w:rPr>
          <w:b/>
          <w:bCs/>
          <w:noProof/>
        </w:rPr>
        <w:t xml:space="preserve">Sexual orientation </w:t>
      </w:r>
    </w:p>
    <w:tbl>
      <w:tblPr>
        <w:tblStyle w:val="TableGrid"/>
        <w:tblW w:w="9735" w:type="dxa"/>
        <w:tblLook w:val="04A0" w:firstRow="1" w:lastRow="0" w:firstColumn="1" w:lastColumn="0" w:noHBand="0" w:noVBand="1"/>
      </w:tblPr>
      <w:tblGrid>
        <w:gridCol w:w="5010"/>
        <w:gridCol w:w="2291"/>
        <w:gridCol w:w="2434"/>
      </w:tblGrid>
      <w:tr w:rsidR="006A1F98" w14:paraId="6BF02AF9" w14:textId="77777777" w:rsidTr="00235365">
        <w:trPr>
          <w:trHeight w:val="271"/>
        </w:trPr>
        <w:tc>
          <w:tcPr>
            <w:tcW w:w="5010" w:type="dxa"/>
          </w:tcPr>
          <w:p w14:paraId="347AFB24" w14:textId="77777777" w:rsidR="006A1F98" w:rsidRPr="009C6A9D" w:rsidRDefault="006A1F98" w:rsidP="00235365">
            <w:pPr>
              <w:rPr>
                <w:b/>
                <w:bCs/>
                <w:noProof/>
              </w:rPr>
            </w:pPr>
            <w:r>
              <w:rPr>
                <w:b/>
                <w:bCs/>
                <w:noProof/>
              </w:rPr>
              <w:t xml:space="preserve">Sexual orientation </w:t>
            </w:r>
          </w:p>
        </w:tc>
        <w:tc>
          <w:tcPr>
            <w:tcW w:w="2291" w:type="dxa"/>
          </w:tcPr>
          <w:p w14:paraId="6D017269" w14:textId="39B52276" w:rsidR="006A1F98" w:rsidRPr="009C6A9D" w:rsidRDefault="006A1F98" w:rsidP="00235365">
            <w:pPr>
              <w:rPr>
                <w:b/>
                <w:bCs/>
                <w:noProof/>
              </w:rPr>
            </w:pPr>
            <w:r>
              <w:rPr>
                <w:b/>
                <w:bCs/>
                <w:noProof/>
              </w:rPr>
              <w:t xml:space="preserve">Workforce </w:t>
            </w:r>
            <w:r w:rsidR="00A2175D">
              <w:rPr>
                <w:b/>
                <w:bCs/>
                <w:noProof/>
              </w:rPr>
              <w:t>Practices</w:t>
            </w:r>
            <w:r>
              <w:rPr>
                <w:b/>
                <w:bCs/>
                <w:noProof/>
              </w:rPr>
              <w:t xml:space="preserve"> Survey percentage</w:t>
            </w:r>
          </w:p>
        </w:tc>
        <w:tc>
          <w:tcPr>
            <w:tcW w:w="2434" w:type="dxa"/>
          </w:tcPr>
          <w:p w14:paraId="6B8F1A48" w14:textId="77777777" w:rsidR="006A1F98" w:rsidRPr="009C6A9D" w:rsidRDefault="006A1F98" w:rsidP="00235365">
            <w:pPr>
              <w:rPr>
                <w:b/>
                <w:bCs/>
                <w:noProof/>
              </w:rPr>
            </w:pPr>
            <w:r>
              <w:rPr>
                <w:b/>
                <w:bCs/>
                <w:noProof/>
              </w:rPr>
              <w:t>ONS 2021</w:t>
            </w:r>
          </w:p>
        </w:tc>
      </w:tr>
      <w:tr w:rsidR="006A1F98" w14:paraId="3111062A" w14:textId="77777777" w:rsidTr="00235365">
        <w:trPr>
          <w:trHeight w:val="255"/>
        </w:trPr>
        <w:tc>
          <w:tcPr>
            <w:tcW w:w="5010" w:type="dxa"/>
          </w:tcPr>
          <w:p w14:paraId="77AD852B" w14:textId="77777777" w:rsidR="006A1F98" w:rsidRPr="00DD6E40" w:rsidRDefault="006A1F98" w:rsidP="00235365">
            <w:pPr>
              <w:rPr>
                <w:noProof/>
              </w:rPr>
            </w:pPr>
            <w:r>
              <w:rPr>
                <w:noProof/>
              </w:rPr>
              <w:t>Heterosexual/straight</w:t>
            </w:r>
          </w:p>
        </w:tc>
        <w:tc>
          <w:tcPr>
            <w:tcW w:w="2291" w:type="dxa"/>
          </w:tcPr>
          <w:p w14:paraId="56DAC66B" w14:textId="3A0F0F64" w:rsidR="006A1F98" w:rsidRPr="00DD6E40" w:rsidRDefault="00435C37" w:rsidP="00235365">
            <w:pPr>
              <w:rPr>
                <w:noProof/>
              </w:rPr>
            </w:pPr>
            <w:r>
              <w:rPr>
                <w:noProof/>
              </w:rPr>
              <w:t>78.24</w:t>
            </w:r>
          </w:p>
        </w:tc>
        <w:tc>
          <w:tcPr>
            <w:tcW w:w="2434" w:type="dxa"/>
          </w:tcPr>
          <w:p w14:paraId="21FAE432" w14:textId="77777777" w:rsidR="006A1F98" w:rsidRPr="00DD6E40" w:rsidRDefault="006A1F98" w:rsidP="00235365">
            <w:pPr>
              <w:rPr>
                <w:noProof/>
              </w:rPr>
            </w:pPr>
            <w:r>
              <w:rPr>
                <w:noProof/>
              </w:rPr>
              <w:t>89.35%</w:t>
            </w:r>
          </w:p>
        </w:tc>
      </w:tr>
      <w:tr w:rsidR="006A1F98" w14:paraId="1D64C92D" w14:textId="77777777" w:rsidTr="00235365">
        <w:trPr>
          <w:trHeight w:val="271"/>
        </w:trPr>
        <w:tc>
          <w:tcPr>
            <w:tcW w:w="5010" w:type="dxa"/>
          </w:tcPr>
          <w:p w14:paraId="75265557" w14:textId="77777777" w:rsidR="006A1F98" w:rsidRPr="00DD6E40" w:rsidRDefault="006A1F98" w:rsidP="00235365">
            <w:pPr>
              <w:rPr>
                <w:noProof/>
              </w:rPr>
            </w:pPr>
            <w:r>
              <w:rPr>
                <w:noProof/>
              </w:rPr>
              <w:t>Prefer not to say</w:t>
            </w:r>
          </w:p>
        </w:tc>
        <w:tc>
          <w:tcPr>
            <w:tcW w:w="2291" w:type="dxa"/>
          </w:tcPr>
          <w:p w14:paraId="5AA4F3DF" w14:textId="7359C510" w:rsidR="006A1F98" w:rsidRPr="00DD6E40" w:rsidRDefault="00A2175D" w:rsidP="00235365">
            <w:pPr>
              <w:rPr>
                <w:noProof/>
              </w:rPr>
            </w:pPr>
            <w:r>
              <w:rPr>
                <w:noProof/>
              </w:rPr>
              <w:t>7.01</w:t>
            </w:r>
          </w:p>
        </w:tc>
        <w:tc>
          <w:tcPr>
            <w:tcW w:w="2434" w:type="dxa"/>
          </w:tcPr>
          <w:p w14:paraId="052CA93A" w14:textId="77777777" w:rsidR="006A1F98" w:rsidRPr="00DD6E40" w:rsidRDefault="006A1F98" w:rsidP="00235365">
            <w:pPr>
              <w:rPr>
                <w:noProof/>
              </w:rPr>
            </w:pPr>
            <w:r>
              <w:rPr>
                <w:noProof/>
              </w:rPr>
              <w:t>7.50%</w:t>
            </w:r>
          </w:p>
        </w:tc>
      </w:tr>
      <w:tr w:rsidR="006A1F98" w14:paraId="230FF927" w14:textId="77777777" w:rsidTr="00235365">
        <w:trPr>
          <w:trHeight w:val="271"/>
        </w:trPr>
        <w:tc>
          <w:tcPr>
            <w:tcW w:w="5010" w:type="dxa"/>
          </w:tcPr>
          <w:p w14:paraId="3E86722E" w14:textId="77777777" w:rsidR="006A1F98" w:rsidRPr="00DD6E40" w:rsidRDefault="006A1F98" w:rsidP="00235365">
            <w:pPr>
              <w:rPr>
                <w:noProof/>
              </w:rPr>
            </w:pPr>
            <w:r>
              <w:rPr>
                <w:noProof/>
              </w:rPr>
              <w:t>Gay or Lesbian</w:t>
            </w:r>
          </w:p>
        </w:tc>
        <w:tc>
          <w:tcPr>
            <w:tcW w:w="2291" w:type="dxa"/>
          </w:tcPr>
          <w:p w14:paraId="46D71658" w14:textId="5E64EE6E" w:rsidR="006A1F98" w:rsidRPr="00DD6E40" w:rsidRDefault="00A2175D" w:rsidP="00235365">
            <w:pPr>
              <w:rPr>
                <w:noProof/>
              </w:rPr>
            </w:pPr>
            <w:r>
              <w:rPr>
                <w:noProof/>
              </w:rPr>
              <w:t>5.56</w:t>
            </w:r>
          </w:p>
        </w:tc>
        <w:tc>
          <w:tcPr>
            <w:tcW w:w="2434" w:type="dxa"/>
          </w:tcPr>
          <w:p w14:paraId="4480FA52" w14:textId="77777777" w:rsidR="006A1F98" w:rsidRPr="00DD6E40" w:rsidRDefault="006A1F98" w:rsidP="00235365">
            <w:pPr>
              <w:rPr>
                <w:noProof/>
              </w:rPr>
            </w:pPr>
            <w:r>
              <w:rPr>
                <w:noProof/>
              </w:rPr>
              <w:t>1.54%</w:t>
            </w:r>
          </w:p>
        </w:tc>
      </w:tr>
      <w:tr w:rsidR="006A1F98" w14:paraId="0057287C" w14:textId="77777777" w:rsidTr="00235365">
        <w:trPr>
          <w:trHeight w:val="255"/>
        </w:trPr>
        <w:tc>
          <w:tcPr>
            <w:tcW w:w="5010" w:type="dxa"/>
          </w:tcPr>
          <w:p w14:paraId="36D60D15" w14:textId="77777777" w:rsidR="006A1F98" w:rsidRPr="00DD6E40" w:rsidRDefault="006A1F98" w:rsidP="00235365">
            <w:pPr>
              <w:rPr>
                <w:noProof/>
              </w:rPr>
            </w:pPr>
            <w:r>
              <w:rPr>
                <w:noProof/>
              </w:rPr>
              <w:t xml:space="preserve">Bisexual </w:t>
            </w:r>
          </w:p>
        </w:tc>
        <w:tc>
          <w:tcPr>
            <w:tcW w:w="2291" w:type="dxa"/>
          </w:tcPr>
          <w:p w14:paraId="4CC0B625" w14:textId="1160A6BD" w:rsidR="006A1F98" w:rsidRPr="00DD6E40" w:rsidRDefault="00A2175D" w:rsidP="00235365">
            <w:pPr>
              <w:rPr>
                <w:noProof/>
              </w:rPr>
            </w:pPr>
            <w:r>
              <w:rPr>
                <w:noProof/>
              </w:rPr>
              <w:t>6.41</w:t>
            </w:r>
          </w:p>
        </w:tc>
        <w:tc>
          <w:tcPr>
            <w:tcW w:w="2434" w:type="dxa"/>
          </w:tcPr>
          <w:p w14:paraId="18188947" w14:textId="77777777" w:rsidR="006A1F98" w:rsidRPr="00DD6E40" w:rsidRDefault="006A1F98" w:rsidP="00235365">
            <w:pPr>
              <w:rPr>
                <w:noProof/>
              </w:rPr>
            </w:pPr>
            <w:r>
              <w:rPr>
                <w:noProof/>
              </w:rPr>
              <w:t>1.28%</w:t>
            </w:r>
          </w:p>
        </w:tc>
      </w:tr>
      <w:tr w:rsidR="006A1F98" w14:paraId="51832E58" w14:textId="77777777" w:rsidTr="00235365">
        <w:trPr>
          <w:trHeight w:val="255"/>
        </w:trPr>
        <w:tc>
          <w:tcPr>
            <w:tcW w:w="5010" w:type="dxa"/>
          </w:tcPr>
          <w:p w14:paraId="2AB8DFA9" w14:textId="77777777" w:rsidR="006A1F98" w:rsidRDefault="006A1F98" w:rsidP="00235365">
            <w:pPr>
              <w:rPr>
                <w:noProof/>
              </w:rPr>
            </w:pPr>
            <w:r>
              <w:rPr>
                <w:noProof/>
              </w:rPr>
              <w:t xml:space="preserve">Other </w:t>
            </w:r>
          </w:p>
        </w:tc>
        <w:tc>
          <w:tcPr>
            <w:tcW w:w="2291" w:type="dxa"/>
          </w:tcPr>
          <w:p w14:paraId="11691C3B" w14:textId="0831DA47" w:rsidR="006A1F98" w:rsidRDefault="00A2175D" w:rsidP="00235365">
            <w:pPr>
              <w:rPr>
                <w:noProof/>
              </w:rPr>
            </w:pPr>
            <w:r>
              <w:rPr>
                <w:noProof/>
              </w:rPr>
              <w:t>2.78</w:t>
            </w:r>
          </w:p>
        </w:tc>
        <w:tc>
          <w:tcPr>
            <w:tcW w:w="2434" w:type="dxa"/>
          </w:tcPr>
          <w:p w14:paraId="086CD063" w14:textId="77777777" w:rsidR="006A1F98" w:rsidRDefault="006A1F98" w:rsidP="00235365">
            <w:pPr>
              <w:rPr>
                <w:noProof/>
              </w:rPr>
            </w:pPr>
            <w:r>
              <w:rPr>
                <w:noProof/>
              </w:rPr>
              <w:t>0.34%</w:t>
            </w:r>
          </w:p>
        </w:tc>
      </w:tr>
    </w:tbl>
    <w:p w14:paraId="3095D1A4" w14:textId="77777777" w:rsidR="006A1F98" w:rsidRDefault="006A1F98" w:rsidP="006A1F98">
      <w:pPr>
        <w:pStyle w:val="BodyText"/>
        <w:rPr>
          <w:b/>
          <w:bCs/>
          <w:noProof/>
        </w:rPr>
      </w:pPr>
    </w:p>
    <w:p w14:paraId="7E985B17" w14:textId="77777777" w:rsidR="006A1F98" w:rsidRDefault="006A1F98" w:rsidP="006A1F98">
      <w:pPr>
        <w:pStyle w:val="BodyText"/>
        <w:rPr>
          <w:b/>
          <w:bCs/>
          <w:noProof/>
        </w:rPr>
      </w:pPr>
    </w:p>
    <w:p w14:paraId="35EB6B61" w14:textId="186C6C20" w:rsidR="006A1F98" w:rsidRPr="00585B40" w:rsidRDefault="006A1F98" w:rsidP="006A1F98">
      <w:pPr>
        <w:pStyle w:val="BodyText"/>
        <w:rPr>
          <w:b/>
          <w:bCs/>
          <w:noProof/>
        </w:rPr>
      </w:pPr>
      <w:r w:rsidRPr="00585B40">
        <w:rPr>
          <w:b/>
          <w:bCs/>
          <w:noProof/>
        </w:rPr>
        <w:t>Table</w:t>
      </w:r>
      <w:r w:rsidR="00A2175D">
        <w:rPr>
          <w:b/>
          <w:bCs/>
          <w:noProof/>
        </w:rPr>
        <w:t xml:space="preserve"> 12</w:t>
      </w:r>
      <w:r w:rsidRPr="00585B40">
        <w:rPr>
          <w:b/>
          <w:bCs/>
          <w:noProof/>
        </w:rPr>
        <w:t xml:space="preserve">: </w:t>
      </w:r>
      <w:r>
        <w:rPr>
          <w:b/>
          <w:bCs/>
          <w:noProof/>
        </w:rPr>
        <w:t xml:space="preserve">Gender identity  </w:t>
      </w:r>
    </w:p>
    <w:tbl>
      <w:tblPr>
        <w:tblStyle w:val="TableGrid"/>
        <w:tblW w:w="9628" w:type="dxa"/>
        <w:tblLook w:val="04A0" w:firstRow="1" w:lastRow="0" w:firstColumn="1" w:lastColumn="0" w:noHBand="0" w:noVBand="1"/>
      </w:tblPr>
      <w:tblGrid>
        <w:gridCol w:w="4939"/>
        <w:gridCol w:w="2508"/>
        <w:gridCol w:w="2181"/>
      </w:tblGrid>
      <w:tr w:rsidR="006A1F98" w14:paraId="216CE880" w14:textId="77777777" w:rsidTr="00235365">
        <w:trPr>
          <w:trHeight w:val="310"/>
        </w:trPr>
        <w:tc>
          <w:tcPr>
            <w:tcW w:w="4939" w:type="dxa"/>
          </w:tcPr>
          <w:p w14:paraId="238342FA" w14:textId="77777777" w:rsidR="006A1F98" w:rsidRPr="009C6A9D" w:rsidRDefault="006A1F98" w:rsidP="00235365">
            <w:pPr>
              <w:rPr>
                <w:b/>
                <w:bCs/>
                <w:noProof/>
              </w:rPr>
            </w:pPr>
            <w:r>
              <w:rPr>
                <w:b/>
                <w:bCs/>
                <w:noProof/>
              </w:rPr>
              <w:t xml:space="preserve">Sex assigned at birth </w:t>
            </w:r>
          </w:p>
        </w:tc>
        <w:tc>
          <w:tcPr>
            <w:tcW w:w="2508" w:type="dxa"/>
          </w:tcPr>
          <w:p w14:paraId="7DAD4962" w14:textId="77777777" w:rsidR="006A1F98" w:rsidRPr="009C6A9D" w:rsidRDefault="006A1F98" w:rsidP="00235365">
            <w:pPr>
              <w:rPr>
                <w:b/>
                <w:bCs/>
                <w:noProof/>
              </w:rPr>
            </w:pPr>
            <w:r>
              <w:rPr>
                <w:b/>
                <w:bCs/>
                <w:noProof/>
              </w:rPr>
              <w:t>Workforce Mapping Survey percentage</w:t>
            </w:r>
          </w:p>
        </w:tc>
        <w:tc>
          <w:tcPr>
            <w:tcW w:w="2181" w:type="dxa"/>
          </w:tcPr>
          <w:p w14:paraId="7BE52943" w14:textId="77777777" w:rsidR="006A1F98" w:rsidRDefault="006A1F98" w:rsidP="00235365">
            <w:pPr>
              <w:rPr>
                <w:b/>
                <w:bCs/>
                <w:noProof/>
              </w:rPr>
            </w:pPr>
            <w:r>
              <w:rPr>
                <w:b/>
                <w:bCs/>
                <w:noProof/>
              </w:rPr>
              <w:t>ONS 2021</w:t>
            </w:r>
          </w:p>
        </w:tc>
      </w:tr>
      <w:tr w:rsidR="006A1F98" w14:paraId="11C207C6" w14:textId="77777777" w:rsidTr="00235365">
        <w:trPr>
          <w:trHeight w:val="291"/>
        </w:trPr>
        <w:tc>
          <w:tcPr>
            <w:tcW w:w="4939" w:type="dxa"/>
          </w:tcPr>
          <w:p w14:paraId="6A204566" w14:textId="77777777" w:rsidR="006A1F98" w:rsidRPr="00DD6E40" w:rsidRDefault="006A1F98" w:rsidP="00235365">
            <w:pPr>
              <w:rPr>
                <w:noProof/>
              </w:rPr>
            </w:pPr>
            <w:r>
              <w:rPr>
                <w:noProof/>
              </w:rPr>
              <w:t>Female</w:t>
            </w:r>
          </w:p>
        </w:tc>
        <w:tc>
          <w:tcPr>
            <w:tcW w:w="2508" w:type="dxa"/>
          </w:tcPr>
          <w:p w14:paraId="73133E28" w14:textId="3516BAA7" w:rsidR="006A1F98" w:rsidRPr="00DD6E40" w:rsidRDefault="008F5C14" w:rsidP="00235365">
            <w:pPr>
              <w:rPr>
                <w:noProof/>
              </w:rPr>
            </w:pPr>
            <w:r>
              <w:rPr>
                <w:noProof/>
              </w:rPr>
              <w:t>79.57</w:t>
            </w:r>
          </w:p>
        </w:tc>
        <w:tc>
          <w:tcPr>
            <w:tcW w:w="2181" w:type="dxa"/>
          </w:tcPr>
          <w:p w14:paraId="44447825" w14:textId="77777777" w:rsidR="006A1F98" w:rsidRDefault="006A1F98" w:rsidP="00235365">
            <w:pPr>
              <w:rPr>
                <w:noProof/>
              </w:rPr>
            </w:pPr>
            <w:r>
              <w:rPr>
                <w:noProof/>
              </w:rPr>
              <w:t>51%</w:t>
            </w:r>
          </w:p>
        </w:tc>
      </w:tr>
      <w:tr w:rsidR="006A1F98" w14:paraId="5991D623" w14:textId="77777777" w:rsidTr="00235365">
        <w:trPr>
          <w:trHeight w:val="310"/>
        </w:trPr>
        <w:tc>
          <w:tcPr>
            <w:tcW w:w="4939" w:type="dxa"/>
          </w:tcPr>
          <w:p w14:paraId="5BB0F2B9" w14:textId="77777777" w:rsidR="006A1F98" w:rsidRPr="00DD6E40" w:rsidRDefault="006A1F98" w:rsidP="00235365">
            <w:pPr>
              <w:rPr>
                <w:noProof/>
              </w:rPr>
            </w:pPr>
            <w:r>
              <w:rPr>
                <w:noProof/>
              </w:rPr>
              <w:t>Male</w:t>
            </w:r>
          </w:p>
        </w:tc>
        <w:tc>
          <w:tcPr>
            <w:tcW w:w="2508" w:type="dxa"/>
          </w:tcPr>
          <w:p w14:paraId="2E5C7B19" w14:textId="6C068D40" w:rsidR="006A1F98" w:rsidRPr="00DD6E40" w:rsidRDefault="008F5C14" w:rsidP="00235365">
            <w:pPr>
              <w:rPr>
                <w:noProof/>
              </w:rPr>
            </w:pPr>
            <w:r>
              <w:rPr>
                <w:noProof/>
              </w:rPr>
              <w:t>15.61</w:t>
            </w:r>
          </w:p>
        </w:tc>
        <w:tc>
          <w:tcPr>
            <w:tcW w:w="2181" w:type="dxa"/>
          </w:tcPr>
          <w:p w14:paraId="2CEB4A65" w14:textId="77777777" w:rsidR="006A1F98" w:rsidRDefault="006A1F98" w:rsidP="00235365">
            <w:pPr>
              <w:rPr>
                <w:noProof/>
              </w:rPr>
            </w:pPr>
            <w:r>
              <w:rPr>
                <w:noProof/>
              </w:rPr>
              <w:t>49%</w:t>
            </w:r>
          </w:p>
        </w:tc>
      </w:tr>
      <w:tr w:rsidR="006A1F98" w14:paraId="5F957A66" w14:textId="77777777" w:rsidTr="00235365">
        <w:trPr>
          <w:trHeight w:val="310"/>
        </w:trPr>
        <w:tc>
          <w:tcPr>
            <w:tcW w:w="4939" w:type="dxa"/>
          </w:tcPr>
          <w:p w14:paraId="4AD0E790" w14:textId="77777777" w:rsidR="006A1F98" w:rsidRPr="00DD6E40" w:rsidRDefault="006A1F98" w:rsidP="00235365">
            <w:pPr>
              <w:rPr>
                <w:noProof/>
              </w:rPr>
            </w:pPr>
            <w:r>
              <w:rPr>
                <w:noProof/>
              </w:rPr>
              <w:t>Prefer not to say</w:t>
            </w:r>
          </w:p>
        </w:tc>
        <w:tc>
          <w:tcPr>
            <w:tcW w:w="2508" w:type="dxa"/>
          </w:tcPr>
          <w:p w14:paraId="4B5059E7" w14:textId="36A8855E" w:rsidR="006A1F98" w:rsidRPr="00DD6E40" w:rsidRDefault="008F5C14" w:rsidP="00235365">
            <w:pPr>
              <w:rPr>
                <w:noProof/>
              </w:rPr>
            </w:pPr>
            <w:r>
              <w:rPr>
                <w:noProof/>
              </w:rPr>
              <w:t>1.82</w:t>
            </w:r>
          </w:p>
        </w:tc>
        <w:tc>
          <w:tcPr>
            <w:tcW w:w="2181" w:type="dxa"/>
          </w:tcPr>
          <w:p w14:paraId="6495BD8B" w14:textId="77777777" w:rsidR="006A1F98" w:rsidRDefault="006A1F98" w:rsidP="00235365">
            <w:pPr>
              <w:rPr>
                <w:noProof/>
              </w:rPr>
            </w:pPr>
          </w:p>
        </w:tc>
      </w:tr>
      <w:tr w:rsidR="006A1F98" w14:paraId="032DEE9A" w14:textId="77777777" w:rsidTr="00235365">
        <w:trPr>
          <w:trHeight w:val="310"/>
        </w:trPr>
        <w:tc>
          <w:tcPr>
            <w:tcW w:w="4939" w:type="dxa"/>
          </w:tcPr>
          <w:p w14:paraId="04859365" w14:textId="77777777" w:rsidR="006A1F98" w:rsidRDefault="006A1F98" w:rsidP="00235365">
            <w:pPr>
              <w:rPr>
                <w:noProof/>
              </w:rPr>
            </w:pPr>
            <w:r>
              <w:rPr>
                <w:noProof/>
              </w:rPr>
              <w:t>Non binary</w:t>
            </w:r>
          </w:p>
        </w:tc>
        <w:tc>
          <w:tcPr>
            <w:tcW w:w="2508" w:type="dxa"/>
          </w:tcPr>
          <w:p w14:paraId="1374323B" w14:textId="322E6148" w:rsidR="006A1F98" w:rsidRDefault="008F5C14" w:rsidP="00235365">
            <w:pPr>
              <w:rPr>
                <w:noProof/>
              </w:rPr>
            </w:pPr>
            <w:r>
              <w:rPr>
                <w:noProof/>
              </w:rPr>
              <w:t>1.32</w:t>
            </w:r>
          </w:p>
        </w:tc>
        <w:tc>
          <w:tcPr>
            <w:tcW w:w="2181" w:type="dxa"/>
          </w:tcPr>
          <w:p w14:paraId="6BB7BF2C" w14:textId="77777777" w:rsidR="006A1F98" w:rsidRDefault="006A1F98" w:rsidP="00235365">
            <w:pPr>
              <w:rPr>
                <w:noProof/>
              </w:rPr>
            </w:pPr>
          </w:p>
        </w:tc>
      </w:tr>
      <w:tr w:rsidR="006A1F98" w14:paraId="64202364" w14:textId="77777777" w:rsidTr="00235365">
        <w:trPr>
          <w:trHeight w:val="310"/>
        </w:trPr>
        <w:tc>
          <w:tcPr>
            <w:tcW w:w="4939" w:type="dxa"/>
          </w:tcPr>
          <w:p w14:paraId="142747EA" w14:textId="77777777" w:rsidR="006A1F98" w:rsidRDefault="006A1F98" w:rsidP="00235365">
            <w:pPr>
              <w:rPr>
                <w:noProof/>
              </w:rPr>
            </w:pPr>
            <w:r>
              <w:rPr>
                <w:noProof/>
              </w:rPr>
              <w:t>Other</w:t>
            </w:r>
          </w:p>
        </w:tc>
        <w:tc>
          <w:tcPr>
            <w:tcW w:w="2508" w:type="dxa"/>
          </w:tcPr>
          <w:p w14:paraId="41FE97CE" w14:textId="7960FDDA" w:rsidR="006A1F98" w:rsidRDefault="008F5C14" w:rsidP="00235365">
            <w:pPr>
              <w:rPr>
                <w:noProof/>
              </w:rPr>
            </w:pPr>
            <w:r>
              <w:rPr>
                <w:noProof/>
              </w:rPr>
              <w:t>1.67</w:t>
            </w:r>
          </w:p>
        </w:tc>
        <w:tc>
          <w:tcPr>
            <w:tcW w:w="2181" w:type="dxa"/>
          </w:tcPr>
          <w:p w14:paraId="5F12825D" w14:textId="77777777" w:rsidR="006A1F98" w:rsidRDefault="006A1F98" w:rsidP="00235365">
            <w:pPr>
              <w:rPr>
                <w:noProof/>
              </w:rPr>
            </w:pPr>
          </w:p>
        </w:tc>
      </w:tr>
    </w:tbl>
    <w:p w14:paraId="3FFAABF7" w14:textId="77777777" w:rsidR="006A1F98" w:rsidRPr="003948F4" w:rsidRDefault="006A1F98" w:rsidP="006A1F98">
      <w:pPr>
        <w:pStyle w:val="BodyText"/>
      </w:pPr>
    </w:p>
    <w:p w14:paraId="0EA3E725" w14:textId="77777777" w:rsidR="006A1F98" w:rsidRDefault="006A1F98" w:rsidP="006A1F98">
      <w:pPr>
        <w:pStyle w:val="BodyText"/>
      </w:pPr>
    </w:p>
    <w:p w14:paraId="40E723B3" w14:textId="77777777" w:rsidR="006A1F98" w:rsidRDefault="006A1F98" w:rsidP="006A1F98">
      <w:pPr>
        <w:pStyle w:val="BodyText"/>
      </w:pPr>
    </w:p>
    <w:p w14:paraId="7E5158C6" w14:textId="77777777" w:rsidR="006A1F98" w:rsidRDefault="006A1F98" w:rsidP="006A1F98">
      <w:pPr>
        <w:pStyle w:val="BodyText"/>
      </w:pPr>
    </w:p>
    <w:p w14:paraId="11C7A077" w14:textId="77777777" w:rsidR="006A1F98" w:rsidRDefault="006A1F98" w:rsidP="006A1F98">
      <w:pPr>
        <w:pStyle w:val="BodyText"/>
      </w:pPr>
    </w:p>
    <w:p w14:paraId="3263A483" w14:textId="77777777" w:rsidR="006A1F98" w:rsidRDefault="006A1F98" w:rsidP="006A1F98">
      <w:pPr>
        <w:pStyle w:val="BodyText"/>
      </w:pPr>
    </w:p>
    <w:p w14:paraId="33AB00AB" w14:textId="77777777" w:rsidR="006A1F98" w:rsidRPr="00585B40" w:rsidRDefault="006A1F98" w:rsidP="006A1F98">
      <w:pPr>
        <w:pStyle w:val="BodyText"/>
      </w:pPr>
    </w:p>
    <w:p w14:paraId="42457A1C" w14:textId="7169944C" w:rsidR="006A1F98" w:rsidRPr="00E931F2" w:rsidRDefault="006A1F98" w:rsidP="006A1F98">
      <w:pPr>
        <w:pStyle w:val="BodyText"/>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Disability</w:t>
      </w:r>
    </w:p>
    <w:p w14:paraId="4B13A40C" w14:textId="77777777" w:rsidR="00180E8D" w:rsidRPr="00180E8D" w:rsidRDefault="00180E8D" w:rsidP="00180E8D">
      <w:pPr>
        <w:pStyle w:val="BodyText"/>
      </w:pPr>
      <w:proofErr w:type="gramStart"/>
      <w:r w:rsidRPr="00180E8D">
        <w:t>The majority of</w:t>
      </w:r>
      <w:proofErr w:type="gramEnd"/>
      <w:r w:rsidRPr="00180E8D">
        <w:t> respondents do not consider themselves to have a disability (80.32%), </w:t>
      </w:r>
    </w:p>
    <w:p w14:paraId="4B89431D" w14:textId="77777777" w:rsidR="00180E8D" w:rsidRPr="00180E8D" w:rsidRDefault="00180E8D" w:rsidP="00180E8D">
      <w:pPr>
        <w:pStyle w:val="BodyText"/>
      </w:pPr>
      <w:r w:rsidRPr="00180E8D">
        <w:t>17.69% of the general population identify as have a disability, compared with 16.79% of respondents to this survey.</w:t>
      </w:r>
    </w:p>
    <w:p w14:paraId="7D2B6DE2" w14:textId="2C847C1E" w:rsidR="006A1F98" w:rsidRPr="004B088E" w:rsidRDefault="006A1F98" w:rsidP="006A1F98">
      <w:pPr>
        <w:pStyle w:val="BodyText"/>
        <w:rPr>
          <w:b/>
          <w:bCs/>
          <w:noProof/>
        </w:rPr>
      </w:pPr>
      <w:r w:rsidRPr="004B088E">
        <w:rPr>
          <w:b/>
          <w:bCs/>
          <w:noProof/>
        </w:rPr>
        <w:t xml:space="preserve">Table </w:t>
      </w:r>
      <w:r w:rsidR="00180E8D">
        <w:rPr>
          <w:b/>
          <w:bCs/>
          <w:noProof/>
        </w:rPr>
        <w:t>13</w:t>
      </w:r>
      <w:r w:rsidRPr="004B088E">
        <w:rPr>
          <w:b/>
          <w:bCs/>
          <w:noProof/>
        </w:rPr>
        <w:t xml:space="preserve">: </w:t>
      </w:r>
      <w:r>
        <w:rPr>
          <w:b/>
          <w:bCs/>
          <w:noProof/>
        </w:rPr>
        <w:t xml:space="preserve">Disablity </w:t>
      </w:r>
    </w:p>
    <w:tbl>
      <w:tblPr>
        <w:tblStyle w:val="TableGrid"/>
        <w:tblW w:w="9735" w:type="dxa"/>
        <w:tblLook w:val="04A0" w:firstRow="1" w:lastRow="0" w:firstColumn="1" w:lastColumn="0" w:noHBand="0" w:noVBand="1"/>
      </w:tblPr>
      <w:tblGrid>
        <w:gridCol w:w="5010"/>
        <w:gridCol w:w="2291"/>
        <w:gridCol w:w="2434"/>
      </w:tblGrid>
      <w:tr w:rsidR="006A1F98" w14:paraId="14931D96" w14:textId="77777777" w:rsidTr="00235365">
        <w:trPr>
          <w:trHeight w:val="271"/>
        </w:trPr>
        <w:tc>
          <w:tcPr>
            <w:tcW w:w="5010" w:type="dxa"/>
          </w:tcPr>
          <w:p w14:paraId="06236925" w14:textId="77777777" w:rsidR="006A1F98" w:rsidRPr="009C6A9D" w:rsidRDefault="006A1F98" w:rsidP="00235365">
            <w:pPr>
              <w:rPr>
                <w:b/>
                <w:bCs/>
                <w:noProof/>
              </w:rPr>
            </w:pPr>
            <w:r>
              <w:rPr>
                <w:b/>
                <w:bCs/>
                <w:noProof/>
              </w:rPr>
              <w:t xml:space="preserve">Disability </w:t>
            </w:r>
          </w:p>
        </w:tc>
        <w:tc>
          <w:tcPr>
            <w:tcW w:w="2291" w:type="dxa"/>
          </w:tcPr>
          <w:p w14:paraId="1785759A" w14:textId="65BCCB44" w:rsidR="006A1F98" w:rsidRPr="009C6A9D" w:rsidRDefault="006A1F98" w:rsidP="00235365">
            <w:pPr>
              <w:rPr>
                <w:b/>
                <w:bCs/>
                <w:noProof/>
              </w:rPr>
            </w:pPr>
            <w:r>
              <w:rPr>
                <w:b/>
                <w:bCs/>
                <w:noProof/>
              </w:rPr>
              <w:t xml:space="preserve">Workforce </w:t>
            </w:r>
            <w:r w:rsidR="00180E8D">
              <w:rPr>
                <w:b/>
                <w:bCs/>
                <w:noProof/>
              </w:rPr>
              <w:t>Practices</w:t>
            </w:r>
            <w:r>
              <w:rPr>
                <w:b/>
                <w:bCs/>
                <w:noProof/>
              </w:rPr>
              <w:t xml:space="preserve"> Survey percentage</w:t>
            </w:r>
          </w:p>
        </w:tc>
        <w:tc>
          <w:tcPr>
            <w:tcW w:w="2434" w:type="dxa"/>
          </w:tcPr>
          <w:p w14:paraId="75FD6185" w14:textId="77777777" w:rsidR="006A1F98" w:rsidRPr="009C6A9D" w:rsidRDefault="006A1F98" w:rsidP="00235365">
            <w:pPr>
              <w:rPr>
                <w:b/>
                <w:bCs/>
                <w:noProof/>
              </w:rPr>
            </w:pPr>
            <w:r>
              <w:rPr>
                <w:b/>
                <w:bCs/>
                <w:noProof/>
              </w:rPr>
              <w:t>ONS 2021</w:t>
            </w:r>
          </w:p>
        </w:tc>
      </w:tr>
      <w:tr w:rsidR="006A1F98" w14:paraId="008D2EDB" w14:textId="77777777" w:rsidTr="00235365">
        <w:trPr>
          <w:trHeight w:val="255"/>
        </w:trPr>
        <w:tc>
          <w:tcPr>
            <w:tcW w:w="5010" w:type="dxa"/>
          </w:tcPr>
          <w:p w14:paraId="6AE2B71E" w14:textId="77777777" w:rsidR="006A1F98" w:rsidRPr="00DD6E40" w:rsidRDefault="006A1F98" w:rsidP="00235365">
            <w:pPr>
              <w:rPr>
                <w:noProof/>
              </w:rPr>
            </w:pPr>
            <w:r>
              <w:rPr>
                <w:noProof/>
              </w:rPr>
              <w:t>No</w:t>
            </w:r>
          </w:p>
        </w:tc>
        <w:tc>
          <w:tcPr>
            <w:tcW w:w="2291" w:type="dxa"/>
          </w:tcPr>
          <w:p w14:paraId="1697D983" w14:textId="7598A84E" w:rsidR="006A1F98" w:rsidRPr="00DD6E40" w:rsidRDefault="00BB1799" w:rsidP="00235365">
            <w:pPr>
              <w:rPr>
                <w:noProof/>
              </w:rPr>
            </w:pPr>
            <w:r>
              <w:rPr>
                <w:noProof/>
              </w:rPr>
              <w:t>80.32</w:t>
            </w:r>
          </w:p>
        </w:tc>
        <w:tc>
          <w:tcPr>
            <w:tcW w:w="2434" w:type="dxa"/>
          </w:tcPr>
          <w:p w14:paraId="5A80215F" w14:textId="3ECB2B77" w:rsidR="006A1F98" w:rsidRPr="00DD6E40" w:rsidRDefault="006A1F98" w:rsidP="00235365">
            <w:pPr>
              <w:rPr>
                <w:noProof/>
              </w:rPr>
            </w:pPr>
            <w:r>
              <w:rPr>
                <w:noProof/>
              </w:rPr>
              <w:t>82.</w:t>
            </w:r>
            <w:r w:rsidR="00BB1799">
              <w:rPr>
                <w:noProof/>
              </w:rPr>
              <w:t>8</w:t>
            </w:r>
            <w:r>
              <w:rPr>
                <w:noProof/>
              </w:rPr>
              <w:t>%</w:t>
            </w:r>
          </w:p>
        </w:tc>
      </w:tr>
      <w:tr w:rsidR="006A1F98" w14:paraId="60D6DDCF" w14:textId="77777777" w:rsidTr="00235365">
        <w:trPr>
          <w:trHeight w:val="271"/>
        </w:trPr>
        <w:tc>
          <w:tcPr>
            <w:tcW w:w="5010" w:type="dxa"/>
          </w:tcPr>
          <w:p w14:paraId="434B25E8" w14:textId="77777777" w:rsidR="006A1F98" w:rsidRPr="00DD6E40" w:rsidRDefault="006A1F98" w:rsidP="00235365">
            <w:pPr>
              <w:rPr>
                <w:noProof/>
              </w:rPr>
            </w:pPr>
            <w:r>
              <w:rPr>
                <w:noProof/>
              </w:rPr>
              <w:t>Yes</w:t>
            </w:r>
          </w:p>
        </w:tc>
        <w:tc>
          <w:tcPr>
            <w:tcW w:w="2291" w:type="dxa"/>
          </w:tcPr>
          <w:p w14:paraId="34F9FE6A" w14:textId="62F72A2F" w:rsidR="006A1F98" w:rsidRPr="00DD6E40" w:rsidRDefault="00BB1799" w:rsidP="00235365">
            <w:pPr>
              <w:rPr>
                <w:noProof/>
              </w:rPr>
            </w:pPr>
            <w:r>
              <w:rPr>
                <w:noProof/>
              </w:rPr>
              <w:t>16.79</w:t>
            </w:r>
          </w:p>
        </w:tc>
        <w:tc>
          <w:tcPr>
            <w:tcW w:w="2434" w:type="dxa"/>
          </w:tcPr>
          <w:p w14:paraId="75A1F23C" w14:textId="5444E1D2" w:rsidR="006A1F98" w:rsidRPr="00DD6E40" w:rsidRDefault="006A1F98" w:rsidP="00235365">
            <w:pPr>
              <w:rPr>
                <w:noProof/>
              </w:rPr>
            </w:pPr>
            <w:r>
              <w:rPr>
                <w:noProof/>
              </w:rPr>
              <w:t>17.</w:t>
            </w:r>
            <w:r w:rsidR="00BB1799">
              <w:rPr>
                <w:noProof/>
              </w:rPr>
              <w:t>8</w:t>
            </w:r>
            <w:r>
              <w:rPr>
                <w:noProof/>
              </w:rPr>
              <w:t>%</w:t>
            </w:r>
          </w:p>
        </w:tc>
      </w:tr>
      <w:tr w:rsidR="006A1F98" w14:paraId="24F99CB8" w14:textId="77777777" w:rsidTr="00235365">
        <w:trPr>
          <w:trHeight w:val="271"/>
        </w:trPr>
        <w:tc>
          <w:tcPr>
            <w:tcW w:w="5010" w:type="dxa"/>
          </w:tcPr>
          <w:p w14:paraId="2E082B56" w14:textId="77777777" w:rsidR="006A1F98" w:rsidRPr="00DD6E40" w:rsidRDefault="006A1F98" w:rsidP="00235365">
            <w:pPr>
              <w:rPr>
                <w:noProof/>
              </w:rPr>
            </w:pPr>
            <w:r>
              <w:rPr>
                <w:noProof/>
              </w:rPr>
              <w:t>Prefer not to say</w:t>
            </w:r>
          </w:p>
        </w:tc>
        <w:tc>
          <w:tcPr>
            <w:tcW w:w="2291" w:type="dxa"/>
          </w:tcPr>
          <w:p w14:paraId="0A73539E" w14:textId="688E03A9" w:rsidR="006A1F98" w:rsidRPr="00DD6E40" w:rsidRDefault="00BB1799" w:rsidP="00235365">
            <w:pPr>
              <w:rPr>
                <w:noProof/>
              </w:rPr>
            </w:pPr>
            <w:r>
              <w:rPr>
                <w:noProof/>
              </w:rPr>
              <w:t>2.89</w:t>
            </w:r>
          </w:p>
        </w:tc>
        <w:tc>
          <w:tcPr>
            <w:tcW w:w="2434" w:type="dxa"/>
          </w:tcPr>
          <w:p w14:paraId="055B91EB" w14:textId="77777777" w:rsidR="006A1F98" w:rsidRPr="00DD6E40" w:rsidRDefault="006A1F98" w:rsidP="00235365">
            <w:pPr>
              <w:rPr>
                <w:noProof/>
              </w:rPr>
            </w:pPr>
          </w:p>
        </w:tc>
      </w:tr>
    </w:tbl>
    <w:p w14:paraId="16FE091A" w14:textId="77777777" w:rsidR="006A1F98" w:rsidRDefault="006A1F98" w:rsidP="006A1F98">
      <w:pPr>
        <w:pStyle w:val="BodyText"/>
        <w:rPr>
          <w:b/>
          <w:bCs/>
          <w:noProof/>
        </w:rPr>
      </w:pPr>
    </w:p>
    <w:p w14:paraId="092C8522"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6312D55D"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F0FB0A1"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282B40A3"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33D289E1"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36E18D29"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FCEF1AC"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31725B8B"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1C16B2ED"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403ABF84"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1B149CAC"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p w14:paraId="0E67A9ED" w14:textId="77777777" w:rsidR="00E80344" w:rsidRDefault="00E80344" w:rsidP="004B4357">
      <w:pPr>
        <w:pStyle w:val="BodyText"/>
        <w:rPr>
          <w:rFonts w:asciiTheme="majorHAnsi" w:eastAsiaTheme="majorEastAsia" w:hAnsiTheme="majorHAnsi" w:cstheme="majorBidi"/>
          <w:b/>
          <w:bCs/>
          <w:color w:val="31006F" w:themeColor="accent2"/>
          <w:sz w:val="36"/>
          <w:szCs w:val="26"/>
        </w:rPr>
      </w:pPr>
    </w:p>
    <w:sectPr w:rsidR="00E80344" w:rsidSect="00F87330">
      <w:headerReference w:type="even" r:id="rId11"/>
      <w:headerReference w:type="default" r:id="rId12"/>
      <w:footerReference w:type="even" r:id="rId13"/>
      <w:footerReference w:type="default" r:id="rId14"/>
      <w:headerReference w:type="first" r:id="rId15"/>
      <w:footerReference w:type="first" r:id="rId16"/>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4973" w14:textId="77777777" w:rsidR="00414F7A" w:rsidRDefault="00414F7A" w:rsidP="00F21852">
      <w:r>
        <w:separator/>
      </w:r>
    </w:p>
    <w:p w14:paraId="1383A782" w14:textId="77777777" w:rsidR="00414F7A" w:rsidRDefault="00414F7A"/>
  </w:endnote>
  <w:endnote w:type="continuationSeparator" w:id="0">
    <w:p w14:paraId="5A80BE1F" w14:textId="77777777" w:rsidR="00414F7A" w:rsidRDefault="00414F7A" w:rsidP="00F21852">
      <w:r>
        <w:continuationSeparator/>
      </w:r>
    </w:p>
    <w:p w14:paraId="180A9391" w14:textId="77777777" w:rsidR="00414F7A" w:rsidRDefault="0041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9183394"/>
      <w:docPartObj>
        <w:docPartGallery w:val="Page Numbers (Bottom of Page)"/>
        <w:docPartUnique/>
      </w:docPartObj>
    </w:sdtPr>
    <w:sdtEndPr>
      <w:rPr>
        <w:rStyle w:val="PageNumber"/>
      </w:rPr>
    </w:sdtEndPr>
    <w:sdtContent>
      <w:p w14:paraId="285C8F7F" w14:textId="63E300BD" w:rsidR="00A300D2" w:rsidRDefault="00A300D2"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7570188"/>
      <w:docPartObj>
        <w:docPartGallery w:val="Page Numbers (Bottom of Page)"/>
        <w:docPartUnique/>
      </w:docPartObj>
    </w:sdtPr>
    <w:sdtEndPr>
      <w:rPr>
        <w:rStyle w:val="PageNumber"/>
      </w:rPr>
    </w:sdtEndPr>
    <w:sdtContent>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1892786"/>
      <w:docPartObj>
        <w:docPartGallery w:val="Page Numbers (Bottom of Page)"/>
        <w:docPartUnique/>
      </w:docPartObj>
    </w:sdtPr>
    <w:sdtEndPr>
      <w:rPr>
        <w:rStyle w:val="PageNumber"/>
      </w:rPr>
    </w:sdtEndPr>
    <w:sdtContent>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Default="009319FA" w:rsidP="00DF3910">
    <w:pPr>
      <w:pStyle w:val="Footer"/>
      <w:rPr>
        <w:sz w:val="22"/>
      </w:rPr>
    </w:pPr>
    <w:r>
      <w:rPr>
        <w:noProof/>
        <w:lang w:eastAsia="en-GB"/>
      </w:rPr>
      <w:drawing>
        <wp:anchor distT="0" distB="0" distL="114300" distR="114300" simplePos="0" relativeHeight="251661312"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2" o:spid="_x0000_s1026" type="#_x0000_t202" alt="&quot;&quot;" style="position:absolute;margin-left:0;margin-top:760.45pt;width:595.25pt;height:39.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gramStart"/>
    <w:r w:rsidRPr="00804F1E">
      <w:rPr>
        <w:rFonts w:ascii="Trebuchet MS" w:eastAsia="Times New Roman" w:hAnsi="Trebuchet MS" w:cs="Times New Roman"/>
        <w:color w:val="31006F" w:themeColor="accent2"/>
        <w:sz w:val="13"/>
        <w:szCs w:val="13"/>
        <w:shd w:val="clear" w:color="auto" w:fill="FFFFFF"/>
        <w:lang w:eastAsia="en-GB"/>
      </w:rPr>
      <w:t>trade marks</w:t>
    </w:r>
    <w:proofErr w:type="gram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r w:rsidR="002115A0">
      <w:softHyphen/>
    </w:r>
    <w:r w:rsidR="002115A0">
      <w:softHyphen/>
    </w:r>
    <w:r w:rsidR="004D74D5">
      <w:softHyphen/>
    </w:r>
    <w:r w:rsidR="009319FA">
      <w:tab/>
    </w:r>
    <w:r w:rsidR="00804F1E">
      <w:tab/>
    </w:r>
  </w:p>
  <w:p w14:paraId="43799DB9" w14:textId="13FA0B7D" w:rsidR="00F364C8" w:rsidRDefault="00804F1E">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3126" w14:textId="77777777" w:rsidR="004D74D5" w:rsidRDefault="004D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19D9" w14:textId="77777777" w:rsidR="00414F7A" w:rsidRDefault="00414F7A" w:rsidP="00F21852">
      <w:r>
        <w:separator/>
      </w:r>
    </w:p>
    <w:p w14:paraId="6CAF7D1C" w14:textId="77777777" w:rsidR="00414F7A" w:rsidRDefault="00414F7A"/>
  </w:footnote>
  <w:footnote w:type="continuationSeparator" w:id="0">
    <w:p w14:paraId="23F87925" w14:textId="77777777" w:rsidR="00414F7A" w:rsidRDefault="00414F7A" w:rsidP="00F21852">
      <w:r>
        <w:continuationSeparator/>
      </w:r>
    </w:p>
    <w:p w14:paraId="0E4C5783" w14:textId="77777777" w:rsidR="00414F7A" w:rsidRDefault="00414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4977" w14:textId="77777777" w:rsidR="004D74D5" w:rsidRDefault="004D7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11" name="Picture 1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864CE"/>
    <w:multiLevelType w:val="hybridMultilevel"/>
    <w:tmpl w:val="691CE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C0F54"/>
    <w:multiLevelType w:val="hybridMultilevel"/>
    <w:tmpl w:val="6064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E2E32"/>
    <w:multiLevelType w:val="hybridMultilevel"/>
    <w:tmpl w:val="F554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429DB"/>
    <w:multiLevelType w:val="hybridMultilevel"/>
    <w:tmpl w:val="C1A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8A06C9"/>
    <w:multiLevelType w:val="hybridMultilevel"/>
    <w:tmpl w:val="DD5C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540E3"/>
    <w:multiLevelType w:val="hybridMultilevel"/>
    <w:tmpl w:val="F7F8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95B70"/>
    <w:multiLevelType w:val="hybridMultilevel"/>
    <w:tmpl w:val="476C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6DA4"/>
    <w:multiLevelType w:val="hybridMultilevel"/>
    <w:tmpl w:val="D48A3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621158">
    <w:abstractNumId w:val="13"/>
  </w:num>
  <w:num w:numId="2" w16cid:durableId="1919245618">
    <w:abstractNumId w:val="16"/>
  </w:num>
  <w:num w:numId="3" w16cid:durableId="1071393295">
    <w:abstractNumId w:val="1"/>
  </w:num>
  <w:num w:numId="4" w16cid:durableId="288098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797007">
    <w:abstractNumId w:val="12"/>
  </w:num>
  <w:num w:numId="6" w16cid:durableId="1720279108">
    <w:abstractNumId w:val="20"/>
  </w:num>
  <w:num w:numId="7" w16cid:durableId="1232158710">
    <w:abstractNumId w:val="6"/>
  </w:num>
  <w:num w:numId="8" w16cid:durableId="1233541309">
    <w:abstractNumId w:val="11"/>
  </w:num>
  <w:num w:numId="9" w16cid:durableId="1577474670">
    <w:abstractNumId w:val="0"/>
  </w:num>
  <w:num w:numId="10" w16cid:durableId="2055041855">
    <w:abstractNumId w:val="22"/>
  </w:num>
  <w:num w:numId="11" w16cid:durableId="479884617">
    <w:abstractNumId w:val="21"/>
  </w:num>
  <w:num w:numId="12" w16cid:durableId="871650081">
    <w:abstractNumId w:val="3"/>
  </w:num>
  <w:num w:numId="13" w16cid:durableId="1311522843">
    <w:abstractNumId w:val="9"/>
  </w:num>
  <w:num w:numId="14" w16cid:durableId="992031770">
    <w:abstractNumId w:val="4"/>
  </w:num>
  <w:num w:numId="15" w16cid:durableId="1033073720">
    <w:abstractNumId w:val="17"/>
  </w:num>
  <w:num w:numId="16" w16cid:durableId="321852363">
    <w:abstractNumId w:val="7"/>
  </w:num>
  <w:num w:numId="17" w16cid:durableId="593520028">
    <w:abstractNumId w:val="15"/>
  </w:num>
  <w:num w:numId="18" w16cid:durableId="1891264585">
    <w:abstractNumId w:val="18"/>
  </w:num>
  <w:num w:numId="19" w16cid:durableId="864094371">
    <w:abstractNumId w:val="2"/>
  </w:num>
  <w:num w:numId="20" w16cid:durableId="52850373">
    <w:abstractNumId w:val="14"/>
  </w:num>
  <w:num w:numId="21" w16cid:durableId="2122071202">
    <w:abstractNumId w:val="8"/>
  </w:num>
  <w:num w:numId="22" w16cid:durableId="1638804033">
    <w:abstractNumId w:val="5"/>
  </w:num>
  <w:num w:numId="23" w16cid:durableId="2065833905">
    <w:abstractNumId w:val="19"/>
  </w:num>
  <w:num w:numId="24" w16cid:durableId="58481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03B"/>
    <w:rsid w:val="000035F1"/>
    <w:rsid w:val="00003842"/>
    <w:rsid w:val="000044D4"/>
    <w:rsid w:val="00005DB8"/>
    <w:rsid w:val="00005EB1"/>
    <w:rsid w:val="00006814"/>
    <w:rsid w:val="00006C9B"/>
    <w:rsid w:val="00007149"/>
    <w:rsid w:val="00007793"/>
    <w:rsid w:val="00010AF2"/>
    <w:rsid w:val="00011FBA"/>
    <w:rsid w:val="00017DC2"/>
    <w:rsid w:val="0002280D"/>
    <w:rsid w:val="000259D7"/>
    <w:rsid w:val="00026D0E"/>
    <w:rsid w:val="000347B4"/>
    <w:rsid w:val="000366E9"/>
    <w:rsid w:val="00037D55"/>
    <w:rsid w:val="00041037"/>
    <w:rsid w:val="00045CD2"/>
    <w:rsid w:val="00045D4A"/>
    <w:rsid w:val="00046055"/>
    <w:rsid w:val="00046A48"/>
    <w:rsid w:val="0004712A"/>
    <w:rsid w:val="0004755B"/>
    <w:rsid w:val="00047EEB"/>
    <w:rsid w:val="00052882"/>
    <w:rsid w:val="00053E64"/>
    <w:rsid w:val="000603ED"/>
    <w:rsid w:val="00060598"/>
    <w:rsid w:val="00060D71"/>
    <w:rsid w:val="00060E20"/>
    <w:rsid w:val="000628C2"/>
    <w:rsid w:val="0006538A"/>
    <w:rsid w:val="000659F6"/>
    <w:rsid w:val="0006706E"/>
    <w:rsid w:val="0007396C"/>
    <w:rsid w:val="0007629F"/>
    <w:rsid w:val="00080804"/>
    <w:rsid w:val="000841C5"/>
    <w:rsid w:val="0008501D"/>
    <w:rsid w:val="0009175F"/>
    <w:rsid w:val="0009338D"/>
    <w:rsid w:val="00095EB6"/>
    <w:rsid w:val="00095FBC"/>
    <w:rsid w:val="000979EB"/>
    <w:rsid w:val="000A03D2"/>
    <w:rsid w:val="000A11AA"/>
    <w:rsid w:val="000A13A5"/>
    <w:rsid w:val="000A2327"/>
    <w:rsid w:val="000A71F8"/>
    <w:rsid w:val="000A7354"/>
    <w:rsid w:val="000A73E7"/>
    <w:rsid w:val="000B0832"/>
    <w:rsid w:val="000B0975"/>
    <w:rsid w:val="000B5747"/>
    <w:rsid w:val="000C20BB"/>
    <w:rsid w:val="000C2358"/>
    <w:rsid w:val="000C3E8A"/>
    <w:rsid w:val="000C4AA3"/>
    <w:rsid w:val="000C4CF2"/>
    <w:rsid w:val="000C56DD"/>
    <w:rsid w:val="000D2B17"/>
    <w:rsid w:val="000D6CE7"/>
    <w:rsid w:val="000D76C9"/>
    <w:rsid w:val="000E2977"/>
    <w:rsid w:val="000E3D4F"/>
    <w:rsid w:val="000E4D7D"/>
    <w:rsid w:val="000E7515"/>
    <w:rsid w:val="000F4D59"/>
    <w:rsid w:val="000F5312"/>
    <w:rsid w:val="000F5EDE"/>
    <w:rsid w:val="00101CFB"/>
    <w:rsid w:val="00103C0A"/>
    <w:rsid w:val="001101EC"/>
    <w:rsid w:val="001127C7"/>
    <w:rsid w:val="00114171"/>
    <w:rsid w:val="001163CB"/>
    <w:rsid w:val="00116D37"/>
    <w:rsid w:val="00121E6F"/>
    <w:rsid w:val="001269FF"/>
    <w:rsid w:val="00126FDF"/>
    <w:rsid w:val="001270C5"/>
    <w:rsid w:val="001318A4"/>
    <w:rsid w:val="00134BEC"/>
    <w:rsid w:val="00135FB4"/>
    <w:rsid w:val="001367A6"/>
    <w:rsid w:val="00140917"/>
    <w:rsid w:val="00144C0D"/>
    <w:rsid w:val="00145B39"/>
    <w:rsid w:val="0014643E"/>
    <w:rsid w:val="0014730C"/>
    <w:rsid w:val="001512C8"/>
    <w:rsid w:val="00152075"/>
    <w:rsid w:val="001541F9"/>
    <w:rsid w:val="00155C2B"/>
    <w:rsid w:val="0015727A"/>
    <w:rsid w:val="00163A9C"/>
    <w:rsid w:val="001654CA"/>
    <w:rsid w:val="001703A3"/>
    <w:rsid w:val="00170543"/>
    <w:rsid w:val="0017146C"/>
    <w:rsid w:val="0017263A"/>
    <w:rsid w:val="00174805"/>
    <w:rsid w:val="00180E8D"/>
    <w:rsid w:val="00181206"/>
    <w:rsid w:val="00181D38"/>
    <w:rsid w:val="00181EC5"/>
    <w:rsid w:val="001833FB"/>
    <w:rsid w:val="001860A3"/>
    <w:rsid w:val="00187DA8"/>
    <w:rsid w:val="00191655"/>
    <w:rsid w:val="00193A59"/>
    <w:rsid w:val="001959E1"/>
    <w:rsid w:val="001A0018"/>
    <w:rsid w:val="001A0991"/>
    <w:rsid w:val="001A38C6"/>
    <w:rsid w:val="001A7BFD"/>
    <w:rsid w:val="001B211A"/>
    <w:rsid w:val="001B4388"/>
    <w:rsid w:val="001B4479"/>
    <w:rsid w:val="001B447C"/>
    <w:rsid w:val="001B7CB0"/>
    <w:rsid w:val="001B7DA2"/>
    <w:rsid w:val="001C26AF"/>
    <w:rsid w:val="001C314A"/>
    <w:rsid w:val="001C4702"/>
    <w:rsid w:val="001C5297"/>
    <w:rsid w:val="001D4177"/>
    <w:rsid w:val="001D4F6A"/>
    <w:rsid w:val="001D4FC1"/>
    <w:rsid w:val="001E0DD2"/>
    <w:rsid w:val="001E2B50"/>
    <w:rsid w:val="001E3E12"/>
    <w:rsid w:val="001E421E"/>
    <w:rsid w:val="001E5731"/>
    <w:rsid w:val="001E738D"/>
    <w:rsid w:val="001F07D2"/>
    <w:rsid w:val="001F1F5E"/>
    <w:rsid w:val="001F3F61"/>
    <w:rsid w:val="001F4880"/>
    <w:rsid w:val="001F53B1"/>
    <w:rsid w:val="001F6CC1"/>
    <w:rsid w:val="00201DA1"/>
    <w:rsid w:val="002028FB"/>
    <w:rsid w:val="00206C9F"/>
    <w:rsid w:val="00207006"/>
    <w:rsid w:val="002079CE"/>
    <w:rsid w:val="00211205"/>
    <w:rsid w:val="002115A0"/>
    <w:rsid w:val="0021188F"/>
    <w:rsid w:val="00212D40"/>
    <w:rsid w:val="00215693"/>
    <w:rsid w:val="002156D4"/>
    <w:rsid w:val="0021606C"/>
    <w:rsid w:val="00216602"/>
    <w:rsid w:val="00220336"/>
    <w:rsid w:val="002223C5"/>
    <w:rsid w:val="002229F7"/>
    <w:rsid w:val="00222D79"/>
    <w:rsid w:val="00224258"/>
    <w:rsid w:val="00224F64"/>
    <w:rsid w:val="00231173"/>
    <w:rsid w:val="00231B8A"/>
    <w:rsid w:val="00235D5F"/>
    <w:rsid w:val="0023776F"/>
    <w:rsid w:val="002448DB"/>
    <w:rsid w:val="00247203"/>
    <w:rsid w:val="00247FB3"/>
    <w:rsid w:val="002523FA"/>
    <w:rsid w:val="00254E67"/>
    <w:rsid w:val="00255C79"/>
    <w:rsid w:val="00256D20"/>
    <w:rsid w:val="002570FC"/>
    <w:rsid w:val="002628B8"/>
    <w:rsid w:val="00263F1D"/>
    <w:rsid w:val="002656F0"/>
    <w:rsid w:val="00267BC0"/>
    <w:rsid w:val="00270F26"/>
    <w:rsid w:val="002762FC"/>
    <w:rsid w:val="002769DD"/>
    <w:rsid w:val="002772B5"/>
    <w:rsid w:val="002834C3"/>
    <w:rsid w:val="00286062"/>
    <w:rsid w:val="00287DE6"/>
    <w:rsid w:val="00290FD8"/>
    <w:rsid w:val="00291B38"/>
    <w:rsid w:val="00293AFD"/>
    <w:rsid w:val="00296CB1"/>
    <w:rsid w:val="002A1FA1"/>
    <w:rsid w:val="002A37E1"/>
    <w:rsid w:val="002A7092"/>
    <w:rsid w:val="002B16CC"/>
    <w:rsid w:val="002B3E22"/>
    <w:rsid w:val="002B59DC"/>
    <w:rsid w:val="002B7C19"/>
    <w:rsid w:val="002C0817"/>
    <w:rsid w:val="002C4234"/>
    <w:rsid w:val="002C7CC4"/>
    <w:rsid w:val="002D4708"/>
    <w:rsid w:val="002E13C4"/>
    <w:rsid w:val="002E22B7"/>
    <w:rsid w:val="002E3ACD"/>
    <w:rsid w:val="002E3E03"/>
    <w:rsid w:val="002E5624"/>
    <w:rsid w:val="002E6F70"/>
    <w:rsid w:val="002F0A2B"/>
    <w:rsid w:val="002F0F59"/>
    <w:rsid w:val="002F11A1"/>
    <w:rsid w:val="002F2F92"/>
    <w:rsid w:val="002F34E3"/>
    <w:rsid w:val="00300392"/>
    <w:rsid w:val="00301964"/>
    <w:rsid w:val="00301AFC"/>
    <w:rsid w:val="003126BE"/>
    <w:rsid w:val="00317A0A"/>
    <w:rsid w:val="00322259"/>
    <w:rsid w:val="00326879"/>
    <w:rsid w:val="00327B8C"/>
    <w:rsid w:val="00333658"/>
    <w:rsid w:val="00333937"/>
    <w:rsid w:val="00334711"/>
    <w:rsid w:val="0033528B"/>
    <w:rsid w:val="00335EEF"/>
    <w:rsid w:val="00342529"/>
    <w:rsid w:val="00345B4F"/>
    <w:rsid w:val="0034715B"/>
    <w:rsid w:val="003502E9"/>
    <w:rsid w:val="00356C7F"/>
    <w:rsid w:val="0036099D"/>
    <w:rsid w:val="0036575A"/>
    <w:rsid w:val="00366E34"/>
    <w:rsid w:val="00376009"/>
    <w:rsid w:val="003767E2"/>
    <w:rsid w:val="003807A6"/>
    <w:rsid w:val="00382077"/>
    <w:rsid w:val="00383266"/>
    <w:rsid w:val="003846FE"/>
    <w:rsid w:val="00387421"/>
    <w:rsid w:val="0039019E"/>
    <w:rsid w:val="003935D0"/>
    <w:rsid w:val="003946A1"/>
    <w:rsid w:val="003948F4"/>
    <w:rsid w:val="003A6685"/>
    <w:rsid w:val="003B1554"/>
    <w:rsid w:val="003C2F2B"/>
    <w:rsid w:val="003C718E"/>
    <w:rsid w:val="003D2523"/>
    <w:rsid w:val="003D3A30"/>
    <w:rsid w:val="003E21E0"/>
    <w:rsid w:val="003E2C69"/>
    <w:rsid w:val="003E6427"/>
    <w:rsid w:val="003F034E"/>
    <w:rsid w:val="003F2340"/>
    <w:rsid w:val="003F35A2"/>
    <w:rsid w:val="003F3821"/>
    <w:rsid w:val="00400D43"/>
    <w:rsid w:val="0040163B"/>
    <w:rsid w:val="00410B9F"/>
    <w:rsid w:val="00412AF1"/>
    <w:rsid w:val="00414F7A"/>
    <w:rsid w:val="004154BB"/>
    <w:rsid w:val="004219E8"/>
    <w:rsid w:val="00423649"/>
    <w:rsid w:val="00423ECE"/>
    <w:rsid w:val="00424D00"/>
    <w:rsid w:val="004333E6"/>
    <w:rsid w:val="004334B9"/>
    <w:rsid w:val="00433896"/>
    <w:rsid w:val="004348D9"/>
    <w:rsid w:val="00435C37"/>
    <w:rsid w:val="004368E2"/>
    <w:rsid w:val="00436E6C"/>
    <w:rsid w:val="00437016"/>
    <w:rsid w:val="004435FF"/>
    <w:rsid w:val="00444B5A"/>
    <w:rsid w:val="00445924"/>
    <w:rsid w:val="00450034"/>
    <w:rsid w:val="004500C4"/>
    <w:rsid w:val="0045033F"/>
    <w:rsid w:val="0046056C"/>
    <w:rsid w:val="00472C3C"/>
    <w:rsid w:val="00475A2B"/>
    <w:rsid w:val="00483527"/>
    <w:rsid w:val="00483DFB"/>
    <w:rsid w:val="004901A2"/>
    <w:rsid w:val="00490743"/>
    <w:rsid w:val="00491111"/>
    <w:rsid w:val="004926D1"/>
    <w:rsid w:val="00495DC1"/>
    <w:rsid w:val="0049641C"/>
    <w:rsid w:val="00496BB6"/>
    <w:rsid w:val="004A0FAA"/>
    <w:rsid w:val="004A2611"/>
    <w:rsid w:val="004A53F2"/>
    <w:rsid w:val="004A5687"/>
    <w:rsid w:val="004A5C1E"/>
    <w:rsid w:val="004A66C8"/>
    <w:rsid w:val="004B4357"/>
    <w:rsid w:val="004B4816"/>
    <w:rsid w:val="004B74EE"/>
    <w:rsid w:val="004B7627"/>
    <w:rsid w:val="004B7CF4"/>
    <w:rsid w:val="004C269C"/>
    <w:rsid w:val="004C2D16"/>
    <w:rsid w:val="004C492D"/>
    <w:rsid w:val="004C5C51"/>
    <w:rsid w:val="004D5638"/>
    <w:rsid w:val="004D74D5"/>
    <w:rsid w:val="004E0253"/>
    <w:rsid w:val="004E1972"/>
    <w:rsid w:val="004E2309"/>
    <w:rsid w:val="004E599A"/>
    <w:rsid w:val="004E61FA"/>
    <w:rsid w:val="004F3D09"/>
    <w:rsid w:val="004F5E4D"/>
    <w:rsid w:val="004F5F96"/>
    <w:rsid w:val="004F6941"/>
    <w:rsid w:val="004F6EBA"/>
    <w:rsid w:val="004F7B4A"/>
    <w:rsid w:val="005016DB"/>
    <w:rsid w:val="005048B2"/>
    <w:rsid w:val="00506C0E"/>
    <w:rsid w:val="0050713F"/>
    <w:rsid w:val="005074B6"/>
    <w:rsid w:val="00510DCD"/>
    <w:rsid w:val="0051149C"/>
    <w:rsid w:val="00511BD0"/>
    <w:rsid w:val="005134A9"/>
    <w:rsid w:val="00520A55"/>
    <w:rsid w:val="005212A7"/>
    <w:rsid w:val="005233CA"/>
    <w:rsid w:val="00523E02"/>
    <w:rsid w:val="005313C4"/>
    <w:rsid w:val="00533B30"/>
    <w:rsid w:val="005356DC"/>
    <w:rsid w:val="005356E6"/>
    <w:rsid w:val="005360DB"/>
    <w:rsid w:val="0053766D"/>
    <w:rsid w:val="005413B0"/>
    <w:rsid w:val="00551653"/>
    <w:rsid w:val="00553C78"/>
    <w:rsid w:val="005541CC"/>
    <w:rsid w:val="00554579"/>
    <w:rsid w:val="005578E7"/>
    <w:rsid w:val="00560B9A"/>
    <w:rsid w:val="005648B2"/>
    <w:rsid w:val="00564D94"/>
    <w:rsid w:val="005670B9"/>
    <w:rsid w:val="0056712B"/>
    <w:rsid w:val="00567354"/>
    <w:rsid w:val="005735F8"/>
    <w:rsid w:val="00573756"/>
    <w:rsid w:val="00573EC2"/>
    <w:rsid w:val="0057458A"/>
    <w:rsid w:val="00576333"/>
    <w:rsid w:val="00577DD5"/>
    <w:rsid w:val="00580DC7"/>
    <w:rsid w:val="00581189"/>
    <w:rsid w:val="005851D9"/>
    <w:rsid w:val="00585B40"/>
    <w:rsid w:val="00585C5B"/>
    <w:rsid w:val="00586DED"/>
    <w:rsid w:val="00587C0F"/>
    <w:rsid w:val="00590F85"/>
    <w:rsid w:val="00594A4D"/>
    <w:rsid w:val="00594ECB"/>
    <w:rsid w:val="00595111"/>
    <w:rsid w:val="005A046D"/>
    <w:rsid w:val="005A0E14"/>
    <w:rsid w:val="005A112B"/>
    <w:rsid w:val="005A247A"/>
    <w:rsid w:val="005A2CBB"/>
    <w:rsid w:val="005A65CD"/>
    <w:rsid w:val="005A6B7B"/>
    <w:rsid w:val="005B074C"/>
    <w:rsid w:val="005B08D0"/>
    <w:rsid w:val="005B58F1"/>
    <w:rsid w:val="005C098E"/>
    <w:rsid w:val="005C1AE7"/>
    <w:rsid w:val="005C2DC2"/>
    <w:rsid w:val="005C4C51"/>
    <w:rsid w:val="005C5117"/>
    <w:rsid w:val="005C56FF"/>
    <w:rsid w:val="005D2167"/>
    <w:rsid w:val="005D2D75"/>
    <w:rsid w:val="005E100F"/>
    <w:rsid w:val="005E112B"/>
    <w:rsid w:val="005E221F"/>
    <w:rsid w:val="005E3E3A"/>
    <w:rsid w:val="005E53B4"/>
    <w:rsid w:val="005E7DC6"/>
    <w:rsid w:val="005F0F4F"/>
    <w:rsid w:val="005F19F8"/>
    <w:rsid w:val="005F3821"/>
    <w:rsid w:val="00602DE8"/>
    <w:rsid w:val="00603BFE"/>
    <w:rsid w:val="00604301"/>
    <w:rsid w:val="006053A1"/>
    <w:rsid w:val="0060679E"/>
    <w:rsid w:val="00606A08"/>
    <w:rsid w:val="00610833"/>
    <w:rsid w:val="00610C29"/>
    <w:rsid w:val="00610EF6"/>
    <w:rsid w:val="0061265E"/>
    <w:rsid w:val="00625621"/>
    <w:rsid w:val="006272BE"/>
    <w:rsid w:val="00627771"/>
    <w:rsid w:val="00627874"/>
    <w:rsid w:val="006340E8"/>
    <w:rsid w:val="00635A59"/>
    <w:rsid w:val="00640C1C"/>
    <w:rsid w:val="00647787"/>
    <w:rsid w:val="00647C26"/>
    <w:rsid w:val="00651FFE"/>
    <w:rsid w:val="00653918"/>
    <w:rsid w:val="00654017"/>
    <w:rsid w:val="0065489B"/>
    <w:rsid w:val="00655622"/>
    <w:rsid w:val="00655CF1"/>
    <w:rsid w:val="006602D3"/>
    <w:rsid w:val="00661717"/>
    <w:rsid w:val="00662A07"/>
    <w:rsid w:val="00662B6E"/>
    <w:rsid w:val="00671478"/>
    <w:rsid w:val="006740CC"/>
    <w:rsid w:val="00676E4E"/>
    <w:rsid w:val="00677476"/>
    <w:rsid w:val="00677EDB"/>
    <w:rsid w:val="00680366"/>
    <w:rsid w:val="00683795"/>
    <w:rsid w:val="006845BB"/>
    <w:rsid w:val="006919F4"/>
    <w:rsid w:val="006940A4"/>
    <w:rsid w:val="006962F4"/>
    <w:rsid w:val="006A1496"/>
    <w:rsid w:val="006A1F98"/>
    <w:rsid w:val="006A2790"/>
    <w:rsid w:val="006A3D47"/>
    <w:rsid w:val="006A3E3D"/>
    <w:rsid w:val="006A4960"/>
    <w:rsid w:val="006A51E5"/>
    <w:rsid w:val="006A5842"/>
    <w:rsid w:val="006A73C4"/>
    <w:rsid w:val="006B0127"/>
    <w:rsid w:val="006B0CD8"/>
    <w:rsid w:val="006C0237"/>
    <w:rsid w:val="006C0F97"/>
    <w:rsid w:val="006C1787"/>
    <w:rsid w:val="006C2D31"/>
    <w:rsid w:val="006C42D6"/>
    <w:rsid w:val="006C56C8"/>
    <w:rsid w:val="006D18F6"/>
    <w:rsid w:val="006D45BB"/>
    <w:rsid w:val="006D4FD0"/>
    <w:rsid w:val="006D5194"/>
    <w:rsid w:val="006D524C"/>
    <w:rsid w:val="006D7688"/>
    <w:rsid w:val="006D7718"/>
    <w:rsid w:val="006D7F76"/>
    <w:rsid w:val="006E2060"/>
    <w:rsid w:val="006E7E41"/>
    <w:rsid w:val="006F3382"/>
    <w:rsid w:val="006F4483"/>
    <w:rsid w:val="006F7A3C"/>
    <w:rsid w:val="00702809"/>
    <w:rsid w:val="00705FC2"/>
    <w:rsid w:val="0070783C"/>
    <w:rsid w:val="00712311"/>
    <w:rsid w:val="00713B41"/>
    <w:rsid w:val="00717ACD"/>
    <w:rsid w:val="00717C0A"/>
    <w:rsid w:val="0072167F"/>
    <w:rsid w:val="00721DDE"/>
    <w:rsid w:val="00724B7E"/>
    <w:rsid w:val="00724EC7"/>
    <w:rsid w:val="00726059"/>
    <w:rsid w:val="00727920"/>
    <w:rsid w:val="007302E3"/>
    <w:rsid w:val="00730F4F"/>
    <w:rsid w:val="0073134F"/>
    <w:rsid w:val="00731F2A"/>
    <w:rsid w:val="00734E8E"/>
    <w:rsid w:val="007506E8"/>
    <w:rsid w:val="00753A07"/>
    <w:rsid w:val="00755772"/>
    <w:rsid w:val="0075665C"/>
    <w:rsid w:val="00760B02"/>
    <w:rsid w:val="007658CA"/>
    <w:rsid w:val="007728BA"/>
    <w:rsid w:val="00774740"/>
    <w:rsid w:val="00775D2E"/>
    <w:rsid w:val="00776C08"/>
    <w:rsid w:val="007802D1"/>
    <w:rsid w:val="00782456"/>
    <w:rsid w:val="0079194C"/>
    <w:rsid w:val="0079333B"/>
    <w:rsid w:val="00796A2D"/>
    <w:rsid w:val="007A22F9"/>
    <w:rsid w:val="007B1487"/>
    <w:rsid w:val="007B45E6"/>
    <w:rsid w:val="007C0ACC"/>
    <w:rsid w:val="007C0F49"/>
    <w:rsid w:val="007C54FB"/>
    <w:rsid w:val="007C7096"/>
    <w:rsid w:val="007C7643"/>
    <w:rsid w:val="007D1137"/>
    <w:rsid w:val="007D2405"/>
    <w:rsid w:val="007D439D"/>
    <w:rsid w:val="007E1638"/>
    <w:rsid w:val="007E16C1"/>
    <w:rsid w:val="007E1CC5"/>
    <w:rsid w:val="007E228A"/>
    <w:rsid w:val="007E3BDE"/>
    <w:rsid w:val="007E4807"/>
    <w:rsid w:val="007E4897"/>
    <w:rsid w:val="007E4C82"/>
    <w:rsid w:val="007E6B60"/>
    <w:rsid w:val="007E6BC2"/>
    <w:rsid w:val="007F2FA5"/>
    <w:rsid w:val="007F4F04"/>
    <w:rsid w:val="007F4FB0"/>
    <w:rsid w:val="008005AD"/>
    <w:rsid w:val="00801361"/>
    <w:rsid w:val="0080245E"/>
    <w:rsid w:val="008048E2"/>
    <w:rsid w:val="00804F1E"/>
    <w:rsid w:val="00807A00"/>
    <w:rsid w:val="00810898"/>
    <w:rsid w:val="00811FB9"/>
    <w:rsid w:val="00812E9B"/>
    <w:rsid w:val="00817CAB"/>
    <w:rsid w:val="00821AFD"/>
    <w:rsid w:val="00821F74"/>
    <w:rsid w:val="008258BE"/>
    <w:rsid w:val="0082691C"/>
    <w:rsid w:val="00827481"/>
    <w:rsid w:val="008315C3"/>
    <w:rsid w:val="008344ED"/>
    <w:rsid w:val="008431F1"/>
    <w:rsid w:val="00847205"/>
    <w:rsid w:val="00853F5C"/>
    <w:rsid w:val="00855742"/>
    <w:rsid w:val="00855C69"/>
    <w:rsid w:val="008565C1"/>
    <w:rsid w:val="00857E43"/>
    <w:rsid w:val="00861367"/>
    <w:rsid w:val="008668CC"/>
    <w:rsid w:val="00871017"/>
    <w:rsid w:val="00872577"/>
    <w:rsid w:val="0088064B"/>
    <w:rsid w:val="00880F7B"/>
    <w:rsid w:val="00882EA6"/>
    <w:rsid w:val="00883B98"/>
    <w:rsid w:val="0089071C"/>
    <w:rsid w:val="00892703"/>
    <w:rsid w:val="00893232"/>
    <w:rsid w:val="00894807"/>
    <w:rsid w:val="00894F57"/>
    <w:rsid w:val="008A0D75"/>
    <w:rsid w:val="008A5251"/>
    <w:rsid w:val="008A5291"/>
    <w:rsid w:val="008A6B79"/>
    <w:rsid w:val="008B2487"/>
    <w:rsid w:val="008B7457"/>
    <w:rsid w:val="008C2E38"/>
    <w:rsid w:val="008C751B"/>
    <w:rsid w:val="008D04DE"/>
    <w:rsid w:val="008D20AF"/>
    <w:rsid w:val="008D2B41"/>
    <w:rsid w:val="008E2CBD"/>
    <w:rsid w:val="008E3139"/>
    <w:rsid w:val="008E3393"/>
    <w:rsid w:val="008F0C6A"/>
    <w:rsid w:val="008F12F4"/>
    <w:rsid w:val="008F3391"/>
    <w:rsid w:val="008F5C14"/>
    <w:rsid w:val="00900E8A"/>
    <w:rsid w:val="00901E5D"/>
    <w:rsid w:val="00902274"/>
    <w:rsid w:val="00904390"/>
    <w:rsid w:val="00904682"/>
    <w:rsid w:val="00905745"/>
    <w:rsid w:val="00911B0B"/>
    <w:rsid w:val="00915145"/>
    <w:rsid w:val="009165A0"/>
    <w:rsid w:val="009211BA"/>
    <w:rsid w:val="0092441F"/>
    <w:rsid w:val="00924D02"/>
    <w:rsid w:val="00925549"/>
    <w:rsid w:val="00926C10"/>
    <w:rsid w:val="00930935"/>
    <w:rsid w:val="009317D7"/>
    <w:rsid w:val="009319FA"/>
    <w:rsid w:val="00931C62"/>
    <w:rsid w:val="00932FB4"/>
    <w:rsid w:val="00933238"/>
    <w:rsid w:val="00934F5F"/>
    <w:rsid w:val="0093500B"/>
    <w:rsid w:val="009357A7"/>
    <w:rsid w:val="00944179"/>
    <w:rsid w:val="009460AA"/>
    <w:rsid w:val="00946A38"/>
    <w:rsid w:val="00947524"/>
    <w:rsid w:val="00947FAB"/>
    <w:rsid w:val="00951E04"/>
    <w:rsid w:val="0095223B"/>
    <w:rsid w:val="00954852"/>
    <w:rsid w:val="00957D96"/>
    <w:rsid w:val="00966C61"/>
    <w:rsid w:val="009672C0"/>
    <w:rsid w:val="009701FB"/>
    <w:rsid w:val="00972E55"/>
    <w:rsid w:val="009734D7"/>
    <w:rsid w:val="009737B2"/>
    <w:rsid w:val="00975788"/>
    <w:rsid w:val="009812D0"/>
    <w:rsid w:val="00987A62"/>
    <w:rsid w:val="00992D13"/>
    <w:rsid w:val="009963C0"/>
    <w:rsid w:val="00997AF3"/>
    <w:rsid w:val="009A4D54"/>
    <w:rsid w:val="009A5217"/>
    <w:rsid w:val="009A689B"/>
    <w:rsid w:val="009A6CB3"/>
    <w:rsid w:val="009A6DE7"/>
    <w:rsid w:val="009A703E"/>
    <w:rsid w:val="009A7581"/>
    <w:rsid w:val="009A77B2"/>
    <w:rsid w:val="009B0B3A"/>
    <w:rsid w:val="009B4266"/>
    <w:rsid w:val="009B59B2"/>
    <w:rsid w:val="009C07AF"/>
    <w:rsid w:val="009C0E60"/>
    <w:rsid w:val="009C24B5"/>
    <w:rsid w:val="009C70C8"/>
    <w:rsid w:val="009D1AC0"/>
    <w:rsid w:val="009D2F58"/>
    <w:rsid w:val="009D61D8"/>
    <w:rsid w:val="009E3609"/>
    <w:rsid w:val="009E3DE1"/>
    <w:rsid w:val="009E4081"/>
    <w:rsid w:val="009E4D4F"/>
    <w:rsid w:val="009F06BC"/>
    <w:rsid w:val="009F2995"/>
    <w:rsid w:val="009F2F4C"/>
    <w:rsid w:val="009F6309"/>
    <w:rsid w:val="009F6473"/>
    <w:rsid w:val="00A01845"/>
    <w:rsid w:val="00A02C1D"/>
    <w:rsid w:val="00A04119"/>
    <w:rsid w:val="00A0655D"/>
    <w:rsid w:val="00A06775"/>
    <w:rsid w:val="00A10D50"/>
    <w:rsid w:val="00A133F9"/>
    <w:rsid w:val="00A1388F"/>
    <w:rsid w:val="00A145C1"/>
    <w:rsid w:val="00A2175D"/>
    <w:rsid w:val="00A23169"/>
    <w:rsid w:val="00A300D2"/>
    <w:rsid w:val="00A3040C"/>
    <w:rsid w:val="00A4025C"/>
    <w:rsid w:val="00A50EDE"/>
    <w:rsid w:val="00A51777"/>
    <w:rsid w:val="00A51CBB"/>
    <w:rsid w:val="00A52417"/>
    <w:rsid w:val="00A53F31"/>
    <w:rsid w:val="00A5633C"/>
    <w:rsid w:val="00A56CD2"/>
    <w:rsid w:val="00A57AF5"/>
    <w:rsid w:val="00A6256E"/>
    <w:rsid w:val="00A6289D"/>
    <w:rsid w:val="00A66FFF"/>
    <w:rsid w:val="00A7306B"/>
    <w:rsid w:val="00A7603C"/>
    <w:rsid w:val="00A81209"/>
    <w:rsid w:val="00A82AD3"/>
    <w:rsid w:val="00A84842"/>
    <w:rsid w:val="00A856B9"/>
    <w:rsid w:val="00A90081"/>
    <w:rsid w:val="00A92391"/>
    <w:rsid w:val="00A92B59"/>
    <w:rsid w:val="00A931E4"/>
    <w:rsid w:val="00A97777"/>
    <w:rsid w:val="00AA35AD"/>
    <w:rsid w:val="00AA7265"/>
    <w:rsid w:val="00AB3169"/>
    <w:rsid w:val="00AB7376"/>
    <w:rsid w:val="00AC1E8E"/>
    <w:rsid w:val="00AC5664"/>
    <w:rsid w:val="00AD3832"/>
    <w:rsid w:val="00AD3857"/>
    <w:rsid w:val="00AD3D96"/>
    <w:rsid w:val="00AD6261"/>
    <w:rsid w:val="00AD772B"/>
    <w:rsid w:val="00AD788E"/>
    <w:rsid w:val="00AE3619"/>
    <w:rsid w:val="00AE5FA4"/>
    <w:rsid w:val="00AF3F9D"/>
    <w:rsid w:val="00AF4D56"/>
    <w:rsid w:val="00B014B4"/>
    <w:rsid w:val="00B02713"/>
    <w:rsid w:val="00B02C40"/>
    <w:rsid w:val="00B0634B"/>
    <w:rsid w:val="00B07B81"/>
    <w:rsid w:val="00B07F5B"/>
    <w:rsid w:val="00B10EE4"/>
    <w:rsid w:val="00B10F42"/>
    <w:rsid w:val="00B11767"/>
    <w:rsid w:val="00B14564"/>
    <w:rsid w:val="00B1487C"/>
    <w:rsid w:val="00B14FC7"/>
    <w:rsid w:val="00B16EE0"/>
    <w:rsid w:val="00B2013D"/>
    <w:rsid w:val="00B21F2C"/>
    <w:rsid w:val="00B24A71"/>
    <w:rsid w:val="00B2570A"/>
    <w:rsid w:val="00B3193E"/>
    <w:rsid w:val="00B33725"/>
    <w:rsid w:val="00B3697F"/>
    <w:rsid w:val="00B37042"/>
    <w:rsid w:val="00B37DA2"/>
    <w:rsid w:val="00B42620"/>
    <w:rsid w:val="00B4618B"/>
    <w:rsid w:val="00B46AE4"/>
    <w:rsid w:val="00B50C82"/>
    <w:rsid w:val="00B50D81"/>
    <w:rsid w:val="00B51BB4"/>
    <w:rsid w:val="00B529AF"/>
    <w:rsid w:val="00B53997"/>
    <w:rsid w:val="00B5697E"/>
    <w:rsid w:val="00B61222"/>
    <w:rsid w:val="00B61C48"/>
    <w:rsid w:val="00B6230B"/>
    <w:rsid w:val="00B62AF7"/>
    <w:rsid w:val="00B62CE3"/>
    <w:rsid w:val="00B6493A"/>
    <w:rsid w:val="00B70C73"/>
    <w:rsid w:val="00B71B82"/>
    <w:rsid w:val="00B73F37"/>
    <w:rsid w:val="00B763AF"/>
    <w:rsid w:val="00B769C8"/>
    <w:rsid w:val="00B775A8"/>
    <w:rsid w:val="00B8209C"/>
    <w:rsid w:val="00B83380"/>
    <w:rsid w:val="00B834D1"/>
    <w:rsid w:val="00B84F62"/>
    <w:rsid w:val="00B8700D"/>
    <w:rsid w:val="00B8756B"/>
    <w:rsid w:val="00B901C3"/>
    <w:rsid w:val="00B9104C"/>
    <w:rsid w:val="00B9325F"/>
    <w:rsid w:val="00B94653"/>
    <w:rsid w:val="00B9465E"/>
    <w:rsid w:val="00B95881"/>
    <w:rsid w:val="00BA3273"/>
    <w:rsid w:val="00BA48F1"/>
    <w:rsid w:val="00BA4B8C"/>
    <w:rsid w:val="00BB0E6D"/>
    <w:rsid w:val="00BB1799"/>
    <w:rsid w:val="00BB3200"/>
    <w:rsid w:val="00BB5AD4"/>
    <w:rsid w:val="00BD0D90"/>
    <w:rsid w:val="00BD12A2"/>
    <w:rsid w:val="00BD4CBF"/>
    <w:rsid w:val="00BD5F2F"/>
    <w:rsid w:val="00BD75D4"/>
    <w:rsid w:val="00BD772C"/>
    <w:rsid w:val="00BE00A7"/>
    <w:rsid w:val="00BE0544"/>
    <w:rsid w:val="00BE15DB"/>
    <w:rsid w:val="00BE2CF0"/>
    <w:rsid w:val="00BE48F0"/>
    <w:rsid w:val="00BF01F7"/>
    <w:rsid w:val="00BF16BD"/>
    <w:rsid w:val="00BF2F67"/>
    <w:rsid w:val="00BF4E6F"/>
    <w:rsid w:val="00BF7EE5"/>
    <w:rsid w:val="00C0098D"/>
    <w:rsid w:val="00C036A5"/>
    <w:rsid w:val="00C03A80"/>
    <w:rsid w:val="00C06CF2"/>
    <w:rsid w:val="00C07AD1"/>
    <w:rsid w:val="00C07BE7"/>
    <w:rsid w:val="00C12B49"/>
    <w:rsid w:val="00C1322E"/>
    <w:rsid w:val="00C141E7"/>
    <w:rsid w:val="00C16D9B"/>
    <w:rsid w:val="00C22027"/>
    <w:rsid w:val="00C22A2B"/>
    <w:rsid w:val="00C22CD6"/>
    <w:rsid w:val="00C23B2E"/>
    <w:rsid w:val="00C2534E"/>
    <w:rsid w:val="00C26B3B"/>
    <w:rsid w:val="00C275CE"/>
    <w:rsid w:val="00C277EA"/>
    <w:rsid w:val="00C33593"/>
    <w:rsid w:val="00C361B9"/>
    <w:rsid w:val="00C37563"/>
    <w:rsid w:val="00C37617"/>
    <w:rsid w:val="00C41B50"/>
    <w:rsid w:val="00C42476"/>
    <w:rsid w:val="00C44A54"/>
    <w:rsid w:val="00C44AC4"/>
    <w:rsid w:val="00C458A3"/>
    <w:rsid w:val="00C46A95"/>
    <w:rsid w:val="00C47C31"/>
    <w:rsid w:val="00C526EF"/>
    <w:rsid w:val="00C5457C"/>
    <w:rsid w:val="00C604AF"/>
    <w:rsid w:val="00C62912"/>
    <w:rsid w:val="00C6687A"/>
    <w:rsid w:val="00C71727"/>
    <w:rsid w:val="00C74BCC"/>
    <w:rsid w:val="00C7560C"/>
    <w:rsid w:val="00C7582D"/>
    <w:rsid w:val="00C774CB"/>
    <w:rsid w:val="00C81837"/>
    <w:rsid w:val="00C82BD9"/>
    <w:rsid w:val="00C8670A"/>
    <w:rsid w:val="00C879F2"/>
    <w:rsid w:val="00C920FF"/>
    <w:rsid w:val="00C926C7"/>
    <w:rsid w:val="00CB25C1"/>
    <w:rsid w:val="00CB3CAF"/>
    <w:rsid w:val="00CB57F1"/>
    <w:rsid w:val="00CC2884"/>
    <w:rsid w:val="00CC2C9D"/>
    <w:rsid w:val="00CC2D69"/>
    <w:rsid w:val="00CC2FBF"/>
    <w:rsid w:val="00CC797E"/>
    <w:rsid w:val="00CD0488"/>
    <w:rsid w:val="00CD0AFD"/>
    <w:rsid w:val="00CD182F"/>
    <w:rsid w:val="00CD2065"/>
    <w:rsid w:val="00CD227E"/>
    <w:rsid w:val="00CD2E08"/>
    <w:rsid w:val="00CE4AE6"/>
    <w:rsid w:val="00CE50B3"/>
    <w:rsid w:val="00CE783D"/>
    <w:rsid w:val="00CF13E4"/>
    <w:rsid w:val="00CF184E"/>
    <w:rsid w:val="00CF64BB"/>
    <w:rsid w:val="00CF78BB"/>
    <w:rsid w:val="00D032B5"/>
    <w:rsid w:val="00D049C2"/>
    <w:rsid w:val="00D05CFB"/>
    <w:rsid w:val="00D06E4B"/>
    <w:rsid w:val="00D06F3D"/>
    <w:rsid w:val="00D1046C"/>
    <w:rsid w:val="00D10C0E"/>
    <w:rsid w:val="00D152D9"/>
    <w:rsid w:val="00D16528"/>
    <w:rsid w:val="00D1680B"/>
    <w:rsid w:val="00D17C42"/>
    <w:rsid w:val="00D20961"/>
    <w:rsid w:val="00D21FF1"/>
    <w:rsid w:val="00D2325B"/>
    <w:rsid w:val="00D24264"/>
    <w:rsid w:val="00D26C2A"/>
    <w:rsid w:val="00D33D8A"/>
    <w:rsid w:val="00D365AE"/>
    <w:rsid w:val="00D36DA1"/>
    <w:rsid w:val="00D37617"/>
    <w:rsid w:val="00D402B4"/>
    <w:rsid w:val="00D41D0C"/>
    <w:rsid w:val="00D425D0"/>
    <w:rsid w:val="00D52794"/>
    <w:rsid w:val="00D5513A"/>
    <w:rsid w:val="00D60496"/>
    <w:rsid w:val="00D656F5"/>
    <w:rsid w:val="00D66054"/>
    <w:rsid w:val="00D67765"/>
    <w:rsid w:val="00D67C5C"/>
    <w:rsid w:val="00D72A13"/>
    <w:rsid w:val="00D7335A"/>
    <w:rsid w:val="00D7436D"/>
    <w:rsid w:val="00D75BB3"/>
    <w:rsid w:val="00D75F55"/>
    <w:rsid w:val="00D840AE"/>
    <w:rsid w:val="00D84B09"/>
    <w:rsid w:val="00D9004B"/>
    <w:rsid w:val="00D937E6"/>
    <w:rsid w:val="00D94BFB"/>
    <w:rsid w:val="00D94F32"/>
    <w:rsid w:val="00D97891"/>
    <w:rsid w:val="00D978A3"/>
    <w:rsid w:val="00DA118F"/>
    <w:rsid w:val="00DA3A01"/>
    <w:rsid w:val="00DA68C2"/>
    <w:rsid w:val="00DA6A38"/>
    <w:rsid w:val="00DB19F9"/>
    <w:rsid w:val="00DB2DF4"/>
    <w:rsid w:val="00DB31C7"/>
    <w:rsid w:val="00DB582C"/>
    <w:rsid w:val="00DC3115"/>
    <w:rsid w:val="00DC6FAF"/>
    <w:rsid w:val="00DD0184"/>
    <w:rsid w:val="00DD1FA0"/>
    <w:rsid w:val="00DD527F"/>
    <w:rsid w:val="00DD72FE"/>
    <w:rsid w:val="00DD74D0"/>
    <w:rsid w:val="00DE0879"/>
    <w:rsid w:val="00DE2BC0"/>
    <w:rsid w:val="00DE2E2C"/>
    <w:rsid w:val="00DE7CE3"/>
    <w:rsid w:val="00DF17D8"/>
    <w:rsid w:val="00DF3910"/>
    <w:rsid w:val="00DF6909"/>
    <w:rsid w:val="00DF6D43"/>
    <w:rsid w:val="00E01171"/>
    <w:rsid w:val="00E01462"/>
    <w:rsid w:val="00E03519"/>
    <w:rsid w:val="00E0794A"/>
    <w:rsid w:val="00E113C4"/>
    <w:rsid w:val="00E13295"/>
    <w:rsid w:val="00E13864"/>
    <w:rsid w:val="00E13D29"/>
    <w:rsid w:val="00E236E9"/>
    <w:rsid w:val="00E24CE0"/>
    <w:rsid w:val="00E2636C"/>
    <w:rsid w:val="00E31ACE"/>
    <w:rsid w:val="00E34834"/>
    <w:rsid w:val="00E35BC3"/>
    <w:rsid w:val="00E35C17"/>
    <w:rsid w:val="00E408CF"/>
    <w:rsid w:val="00E42730"/>
    <w:rsid w:val="00E43D70"/>
    <w:rsid w:val="00E45371"/>
    <w:rsid w:val="00E47E58"/>
    <w:rsid w:val="00E52D55"/>
    <w:rsid w:val="00E54E51"/>
    <w:rsid w:val="00E55420"/>
    <w:rsid w:val="00E568BC"/>
    <w:rsid w:val="00E56BED"/>
    <w:rsid w:val="00E605F5"/>
    <w:rsid w:val="00E63263"/>
    <w:rsid w:val="00E65148"/>
    <w:rsid w:val="00E66C3A"/>
    <w:rsid w:val="00E70D17"/>
    <w:rsid w:val="00E721D7"/>
    <w:rsid w:val="00E72AA5"/>
    <w:rsid w:val="00E74FC8"/>
    <w:rsid w:val="00E76C2F"/>
    <w:rsid w:val="00E7726E"/>
    <w:rsid w:val="00E80188"/>
    <w:rsid w:val="00E80344"/>
    <w:rsid w:val="00E84800"/>
    <w:rsid w:val="00E856B5"/>
    <w:rsid w:val="00E91C1B"/>
    <w:rsid w:val="00E92987"/>
    <w:rsid w:val="00E92FDE"/>
    <w:rsid w:val="00E931F2"/>
    <w:rsid w:val="00E96844"/>
    <w:rsid w:val="00EA26FC"/>
    <w:rsid w:val="00EA2D2D"/>
    <w:rsid w:val="00EA47EB"/>
    <w:rsid w:val="00EA6BA3"/>
    <w:rsid w:val="00EB19F3"/>
    <w:rsid w:val="00EB5F4A"/>
    <w:rsid w:val="00EB7163"/>
    <w:rsid w:val="00EC1BF8"/>
    <w:rsid w:val="00EC1D24"/>
    <w:rsid w:val="00EC53F8"/>
    <w:rsid w:val="00EC6A1A"/>
    <w:rsid w:val="00EC6D52"/>
    <w:rsid w:val="00ED0664"/>
    <w:rsid w:val="00ED1D25"/>
    <w:rsid w:val="00ED3CEF"/>
    <w:rsid w:val="00ED556E"/>
    <w:rsid w:val="00EE0B2D"/>
    <w:rsid w:val="00EE1C5F"/>
    <w:rsid w:val="00EE1EE3"/>
    <w:rsid w:val="00EE5890"/>
    <w:rsid w:val="00EF4A25"/>
    <w:rsid w:val="00EF5149"/>
    <w:rsid w:val="00EF655D"/>
    <w:rsid w:val="00EF66B1"/>
    <w:rsid w:val="00EF6C23"/>
    <w:rsid w:val="00F05DC5"/>
    <w:rsid w:val="00F0781B"/>
    <w:rsid w:val="00F108F4"/>
    <w:rsid w:val="00F11183"/>
    <w:rsid w:val="00F16081"/>
    <w:rsid w:val="00F21852"/>
    <w:rsid w:val="00F26B95"/>
    <w:rsid w:val="00F35CD5"/>
    <w:rsid w:val="00F364C8"/>
    <w:rsid w:val="00F42EFD"/>
    <w:rsid w:val="00F45BD1"/>
    <w:rsid w:val="00F45E50"/>
    <w:rsid w:val="00F465F5"/>
    <w:rsid w:val="00F47DB4"/>
    <w:rsid w:val="00F51944"/>
    <w:rsid w:val="00F51DA8"/>
    <w:rsid w:val="00F528D8"/>
    <w:rsid w:val="00F5298D"/>
    <w:rsid w:val="00F52E60"/>
    <w:rsid w:val="00F53824"/>
    <w:rsid w:val="00F551BC"/>
    <w:rsid w:val="00F55F18"/>
    <w:rsid w:val="00F56FC6"/>
    <w:rsid w:val="00F57408"/>
    <w:rsid w:val="00F63823"/>
    <w:rsid w:val="00F66440"/>
    <w:rsid w:val="00F724D4"/>
    <w:rsid w:val="00F74CF4"/>
    <w:rsid w:val="00F7502E"/>
    <w:rsid w:val="00F75FC1"/>
    <w:rsid w:val="00F80F17"/>
    <w:rsid w:val="00F81301"/>
    <w:rsid w:val="00F83727"/>
    <w:rsid w:val="00F84B80"/>
    <w:rsid w:val="00F87330"/>
    <w:rsid w:val="00F87544"/>
    <w:rsid w:val="00F94012"/>
    <w:rsid w:val="00F9610C"/>
    <w:rsid w:val="00F97EBC"/>
    <w:rsid w:val="00FA004B"/>
    <w:rsid w:val="00FA014C"/>
    <w:rsid w:val="00FA2F9F"/>
    <w:rsid w:val="00FA624E"/>
    <w:rsid w:val="00FA7D45"/>
    <w:rsid w:val="00FB04D8"/>
    <w:rsid w:val="00FB0A61"/>
    <w:rsid w:val="00FB5648"/>
    <w:rsid w:val="00FB6A71"/>
    <w:rsid w:val="00FB7B30"/>
    <w:rsid w:val="00FC1180"/>
    <w:rsid w:val="00FC2057"/>
    <w:rsid w:val="00FC4594"/>
    <w:rsid w:val="00FD0816"/>
    <w:rsid w:val="00FD1235"/>
    <w:rsid w:val="00FE3556"/>
    <w:rsid w:val="00FE5150"/>
    <w:rsid w:val="00FF222C"/>
    <w:rsid w:val="00FF2526"/>
    <w:rsid w:val="00FF4D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F2"/>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31ACE"/>
    <w:pPr>
      <w:keepNext/>
      <w:keepLines/>
      <w:spacing w:after="160"/>
      <w:outlineLvl w:val="2"/>
    </w:pPr>
    <w:rPr>
      <w:rFonts w:asciiTheme="majorHAnsi" w:eastAsiaTheme="majorEastAsia" w:hAnsiTheme="majorHAnsi" w:cstheme="majorBidi"/>
      <w:bCs/>
      <w:shd w:val="clear" w:color="auto" w:fill="FFFFFF"/>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31ACE"/>
    <w:rPr>
      <w:rFonts w:asciiTheme="majorHAnsi" w:eastAsiaTheme="majorEastAsia" w:hAnsiTheme="majorHAnsi" w:cstheme="majorBidi"/>
      <w:bCs/>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semiHidden/>
    <w:unhideWhenUsed/>
    <w:rsid w:val="00327B8C"/>
    <w:rPr>
      <w:sz w:val="20"/>
      <w:szCs w:val="20"/>
    </w:rPr>
  </w:style>
  <w:style w:type="character" w:customStyle="1" w:styleId="CommentTextChar">
    <w:name w:val="Comment Text Char"/>
    <w:basedOn w:val="DefaultParagraphFont"/>
    <w:link w:val="CommentText"/>
    <w:uiPriority w:val="99"/>
    <w:semiHidden/>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5A046D"/>
    <w:pPr>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A046D"/>
    <w:rPr>
      <w:color w:val="605E5C"/>
      <w:shd w:val="clear" w:color="auto" w:fill="E1DFDD"/>
    </w:rPr>
  </w:style>
  <w:style w:type="character" w:styleId="FollowedHyperlink">
    <w:name w:val="FollowedHyperlink"/>
    <w:basedOn w:val="DefaultParagraphFont"/>
    <w:uiPriority w:val="99"/>
    <w:semiHidden/>
    <w:unhideWhenUsed/>
    <w:rsid w:val="005A046D"/>
    <w:rPr>
      <w:color w:val="E20E5A" w:themeColor="followedHyperlink"/>
      <w:u w:val="single"/>
    </w:rPr>
  </w:style>
  <w:style w:type="paragraph" w:styleId="Revision">
    <w:name w:val="Revision"/>
    <w:hidden/>
    <w:uiPriority w:val="99"/>
    <w:semiHidden/>
    <w:rsid w:val="005A046D"/>
    <w:pPr>
      <w:spacing w:after="0" w:line="240" w:lineRule="auto"/>
    </w:pPr>
  </w:style>
  <w:style w:type="paragraph" w:styleId="NormalWeb">
    <w:name w:val="Normal (Web)"/>
    <w:basedOn w:val="Normal"/>
    <w:uiPriority w:val="99"/>
    <w:semiHidden/>
    <w:unhideWhenUsed/>
    <w:rsid w:val="005313C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186">
      <w:bodyDiv w:val="1"/>
      <w:marLeft w:val="0"/>
      <w:marRight w:val="0"/>
      <w:marTop w:val="0"/>
      <w:marBottom w:val="0"/>
      <w:divBdr>
        <w:top w:val="none" w:sz="0" w:space="0" w:color="auto"/>
        <w:left w:val="none" w:sz="0" w:space="0" w:color="auto"/>
        <w:bottom w:val="none" w:sz="0" w:space="0" w:color="auto"/>
        <w:right w:val="none" w:sz="0" w:space="0" w:color="auto"/>
      </w:divBdr>
    </w:div>
    <w:div w:id="131871448">
      <w:bodyDiv w:val="1"/>
      <w:marLeft w:val="0"/>
      <w:marRight w:val="0"/>
      <w:marTop w:val="0"/>
      <w:marBottom w:val="0"/>
      <w:divBdr>
        <w:top w:val="none" w:sz="0" w:space="0" w:color="auto"/>
        <w:left w:val="none" w:sz="0" w:space="0" w:color="auto"/>
        <w:bottom w:val="none" w:sz="0" w:space="0" w:color="auto"/>
        <w:right w:val="none" w:sz="0" w:space="0" w:color="auto"/>
      </w:divBdr>
    </w:div>
    <w:div w:id="143861927">
      <w:bodyDiv w:val="1"/>
      <w:marLeft w:val="0"/>
      <w:marRight w:val="0"/>
      <w:marTop w:val="0"/>
      <w:marBottom w:val="0"/>
      <w:divBdr>
        <w:top w:val="none" w:sz="0" w:space="0" w:color="auto"/>
        <w:left w:val="none" w:sz="0" w:space="0" w:color="auto"/>
        <w:bottom w:val="none" w:sz="0" w:space="0" w:color="auto"/>
        <w:right w:val="none" w:sz="0" w:space="0" w:color="auto"/>
      </w:divBdr>
    </w:div>
    <w:div w:id="161354986">
      <w:bodyDiv w:val="1"/>
      <w:marLeft w:val="0"/>
      <w:marRight w:val="0"/>
      <w:marTop w:val="0"/>
      <w:marBottom w:val="0"/>
      <w:divBdr>
        <w:top w:val="none" w:sz="0" w:space="0" w:color="auto"/>
        <w:left w:val="none" w:sz="0" w:space="0" w:color="auto"/>
        <w:bottom w:val="none" w:sz="0" w:space="0" w:color="auto"/>
        <w:right w:val="none" w:sz="0" w:space="0" w:color="auto"/>
      </w:divBdr>
    </w:div>
    <w:div w:id="165941822">
      <w:bodyDiv w:val="1"/>
      <w:marLeft w:val="0"/>
      <w:marRight w:val="0"/>
      <w:marTop w:val="0"/>
      <w:marBottom w:val="0"/>
      <w:divBdr>
        <w:top w:val="none" w:sz="0" w:space="0" w:color="auto"/>
        <w:left w:val="none" w:sz="0" w:space="0" w:color="auto"/>
        <w:bottom w:val="none" w:sz="0" w:space="0" w:color="auto"/>
        <w:right w:val="none" w:sz="0" w:space="0" w:color="auto"/>
      </w:divBdr>
    </w:div>
    <w:div w:id="172384638">
      <w:bodyDiv w:val="1"/>
      <w:marLeft w:val="0"/>
      <w:marRight w:val="0"/>
      <w:marTop w:val="0"/>
      <w:marBottom w:val="0"/>
      <w:divBdr>
        <w:top w:val="none" w:sz="0" w:space="0" w:color="auto"/>
        <w:left w:val="none" w:sz="0" w:space="0" w:color="auto"/>
        <w:bottom w:val="none" w:sz="0" w:space="0" w:color="auto"/>
        <w:right w:val="none" w:sz="0" w:space="0" w:color="auto"/>
      </w:divBdr>
    </w:div>
    <w:div w:id="174079392">
      <w:bodyDiv w:val="1"/>
      <w:marLeft w:val="0"/>
      <w:marRight w:val="0"/>
      <w:marTop w:val="0"/>
      <w:marBottom w:val="0"/>
      <w:divBdr>
        <w:top w:val="none" w:sz="0" w:space="0" w:color="auto"/>
        <w:left w:val="none" w:sz="0" w:space="0" w:color="auto"/>
        <w:bottom w:val="none" w:sz="0" w:space="0" w:color="auto"/>
        <w:right w:val="none" w:sz="0" w:space="0" w:color="auto"/>
      </w:divBdr>
    </w:div>
    <w:div w:id="218132406">
      <w:bodyDiv w:val="1"/>
      <w:marLeft w:val="0"/>
      <w:marRight w:val="0"/>
      <w:marTop w:val="0"/>
      <w:marBottom w:val="0"/>
      <w:divBdr>
        <w:top w:val="none" w:sz="0" w:space="0" w:color="auto"/>
        <w:left w:val="none" w:sz="0" w:space="0" w:color="auto"/>
        <w:bottom w:val="none" w:sz="0" w:space="0" w:color="auto"/>
        <w:right w:val="none" w:sz="0" w:space="0" w:color="auto"/>
      </w:divBdr>
    </w:div>
    <w:div w:id="259262332">
      <w:bodyDiv w:val="1"/>
      <w:marLeft w:val="0"/>
      <w:marRight w:val="0"/>
      <w:marTop w:val="0"/>
      <w:marBottom w:val="0"/>
      <w:divBdr>
        <w:top w:val="none" w:sz="0" w:space="0" w:color="auto"/>
        <w:left w:val="none" w:sz="0" w:space="0" w:color="auto"/>
        <w:bottom w:val="none" w:sz="0" w:space="0" w:color="auto"/>
        <w:right w:val="none" w:sz="0" w:space="0" w:color="auto"/>
      </w:divBdr>
    </w:div>
    <w:div w:id="274531518">
      <w:bodyDiv w:val="1"/>
      <w:marLeft w:val="0"/>
      <w:marRight w:val="0"/>
      <w:marTop w:val="0"/>
      <w:marBottom w:val="0"/>
      <w:divBdr>
        <w:top w:val="none" w:sz="0" w:space="0" w:color="auto"/>
        <w:left w:val="none" w:sz="0" w:space="0" w:color="auto"/>
        <w:bottom w:val="none" w:sz="0" w:space="0" w:color="auto"/>
        <w:right w:val="none" w:sz="0" w:space="0" w:color="auto"/>
      </w:divBdr>
    </w:div>
    <w:div w:id="288778154">
      <w:bodyDiv w:val="1"/>
      <w:marLeft w:val="0"/>
      <w:marRight w:val="0"/>
      <w:marTop w:val="0"/>
      <w:marBottom w:val="0"/>
      <w:divBdr>
        <w:top w:val="none" w:sz="0" w:space="0" w:color="auto"/>
        <w:left w:val="none" w:sz="0" w:space="0" w:color="auto"/>
        <w:bottom w:val="none" w:sz="0" w:space="0" w:color="auto"/>
        <w:right w:val="none" w:sz="0" w:space="0" w:color="auto"/>
      </w:divBdr>
    </w:div>
    <w:div w:id="339234034">
      <w:bodyDiv w:val="1"/>
      <w:marLeft w:val="0"/>
      <w:marRight w:val="0"/>
      <w:marTop w:val="0"/>
      <w:marBottom w:val="0"/>
      <w:divBdr>
        <w:top w:val="none" w:sz="0" w:space="0" w:color="auto"/>
        <w:left w:val="none" w:sz="0" w:space="0" w:color="auto"/>
        <w:bottom w:val="none" w:sz="0" w:space="0" w:color="auto"/>
        <w:right w:val="none" w:sz="0" w:space="0" w:color="auto"/>
      </w:divBdr>
    </w:div>
    <w:div w:id="339505831">
      <w:bodyDiv w:val="1"/>
      <w:marLeft w:val="0"/>
      <w:marRight w:val="0"/>
      <w:marTop w:val="0"/>
      <w:marBottom w:val="0"/>
      <w:divBdr>
        <w:top w:val="none" w:sz="0" w:space="0" w:color="auto"/>
        <w:left w:val="none" w:sz="0" w:space="0" w:color="auto"/>
        <w:bottom w:val="none" w:sz="0" w:space="0" w:color="auto"/>
        <w:right w:val="none" w:sz="0" w:space="0" w:color="auto"/>
      </w:divBdr>
    </w:div>
    <w:div w:id="359941553">
      <w:bodyDiv w:val="1"/>
      <w:marLeft w:val="0"/>
      <w:marRight w:val="0"/>
      <w:marTop w:val="0"/>
      <w:marBottom w:val="0"/>
      <w:divBdr>
        <w:top w:val="none" w:sz="0" w:space="0" w:color="auto"/>
        <w:left w:val="none" w:sz="0" w:space="0" w:color="auto"/>
        <w:bottom w:val="none" w:sz="0" w:space="0" w:color="auto"/>
        <w:right w:val="none" w:sz="0" w:space="0" w:color="auto"/>
      </w:divBdr>
    </w:div>
    <w:div w:id="378476312">
      <w:bodyDiv w:val="1"/>
      <w:marLeft w:val="0"/>
      <w:marRight w:val="0"/>
      <w:marTop w:val="0"/>
      <w:marBottom w:val="0"/>
      <w:divBdr>
        <w:top w:val="none" w:sz="0" w:space="0" w:color="auto"/>
        <w:left w:val="none" w:sz="0" w:space="0" w:color="auto"/>
        <w:bottom w:val="none" w:sz="0" w:space="0" w:color="auto"/>
        <w:right w:val="none" w:sz="0" w:space="0" w:color="auto"/>
      </w:divBdr>
    </w:div>
    <w:div w:id="407727255">
      <w:bodyDiv w:val="1"/>
      <w:marLeft w:val="0"/>
      <w:marRight w:val="0"/>
      <w:marTop w:val="0"/>
      <w:marBottom w:val="0"/>
      <w:divBdr>
        <w:top w:val="none" w:sz="0" w:space="0" w:color="auto"/>
        <w:left w:val="none" w:sz="0" w:space="0" w:color="auto"/>
        <w:bottom w:val="none" w:sz="0" w:space="0" w:color="auto"/>
        <w:right w:val="none" w:sz="0" w:space="0" w:color="auto"/>
      </w:divBdr>
    </w:div>
    <w:div w:id="417410791">
      <w:bodyDiv w:val="1"/>
      <w:marLeft w:val="0"/>
      <w:marRight w:val="0"/>
      <w:marTop w:val="0"/>
      <w:marBottom w:val="0"/>
      <w:divBdr>
        <w:top w:val="none" w:sz="0" w:space="0" w:color="auto"/>
        <w:left w:val="none" w:sz="0" w:space="0" w:color="auto"/>
        <w:bottom w:val="none" w:sz="0" w:space="0" w:color="auto"/>
        <w:right w:val="none" w:sz="0" w:space="0" w:color="auto"/>
      </w:divBdr>
    </w:div>
    <w:div w:id="420567051">
      <w:bodyDiv w:val="1"/>
      <w:marLeft w:val="0"/>
      <w:marRight w:val="0"/>
      <w:marTop w:val="0"/>
      <w:marBottom w:val="0"/>
      <w:divBdr>
        <w:top w:val="none" w:sz="0" w:space="0" w:color="auto"/>
        <w:left w:val="none" w:sz="0" w:space="0" w:color="auto"/>
        <w:bottom w:val="none" w:sz="0" w:space="0" w:color="auto"/>
        <w:right w:val="none" w:sz="0" w:space="0" w:color="auto"/>
      </w:divBdr>
    </w:div>
    <w:div w:id="450514881">
      <w:bodyDiv w:val="1"/>
      <w:marLeft w:val="0"/>
      <w:marRight w:val="0"/>
      <w:marTop w:val="0"/>
      <w:marBottom w:val="0"/>
      <w:divBdr>
        <w:top w:val="none" w:sz="0" w:space="0" w:color="auto"/>
        <w:left w:val="none" w:sz="0" w:space="0" w:color="auto"/>
        <w:bottom w:val="none" w:sz="0" w:space="0" w:color="auto"/>
        <w:right w:val="none" w:sz="0" w:space="0" w:color="auto"/>
      </w:divBdr>
    </w:div>
    <w:div w:id="475343684">
      <w:bodyDiv w:val="1"/>
      <w:marLeft w:val="0"/>
      <w:marRight w:val="0"/>
      <w:marTop w:val="0"/>
      <w:marBottom w:val="0"/>
      <w:divBdr>
        <w:top w:val="none" w:sz="0" w:space="0" w:color="auto"/>
        <w:left w:val="none" w:sz="0" w:space="0" w:color="auto"/>
        <w:bottom w:val="none" w:sz="0" w:space="0" w:color="auto"/>
        <w:right w:val="none" w:sz="0" w:space="0" w:color="auto"/>
      </w:divBdr>
    </w:div>
    <w:div w:id="495997807">
      <w:bodyDiv w:val="1"/>
      <w:marLeft w:val="0"/>
      <w:marRight w:val="0"/>
      <w:marTop w:val="0"/>
      <w:marBottom w:val="0"/>
      <w:divBdr>
        <w:top w:val="none" w:sz="0" w:space="0" w:color="auto"/>
        <w:left w:val="none" w:sz="0" w:space="0" w:color="auto"/>
        <w:bottom w:val="none" w:sz="0" w:space="0" w:color="auto"/>
        <w:right w:val="none" w:sz="0" w:space="0" w:color="auto"/>
      </w:divBdr>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07184939">
      <w:bodyDiv w:val="1"/>
      <w:marLeft w:val="0"/>
      <w:marRight w:val="0"/>
      <w:marTop w:val="0"/>
      <w:marBottom w:val="0"/>
      <w:divBdr>
        <w:top w:val="none" w:sz="0" w:space="0" w:color="auto"/>
        <w:left w:val="none" w:sz="0" w:space="0" w:color="auto"/>
        <w:bottom w:val="none" w:sz="0" w:space="0" w:color="auto"/>
        <w:right w:val="none" w:sz="0" w:space="0" w:color="auto"/>
      </w:divBdr>
    </w:div>
    <w:div w:id="531965548">
      <w:bodyDiv w:val="1"/>
      <w:marLeft w:val="0"/>
      <w:marRight w:val="0"/>
      <w:marTop w:val="0"/>
      <w:marBottom w:val="0"/>
      <w:divBdr>
        <w:top w:val="none" w:sz="0" w:space="0" w:color="auto"/>
        <w:left w:val="none" w:sz="0" w:space="0" w:color="auto"/>
        <w:bottom w:val="none" w:sz="0" w:space="0" w:color="auto"/>
        <w:right w:val="none" w:sz="0" w:space="0" w:color="auto"/>
      </w:divBdr>
    </w:div>
    <w:div w:id="538128819">
      <w:bodyDiv w:val="1"/>
      <w:marLeft w:val="0"/>
      <w:marRight w:val="0"/>
      <w:marTop w:val="0"/>
      <w:marBottom w:val="0"/>
      <w:divBdr>
        <w:top w:val="none" w:sz="0" w:space="0" w:color="auto"/>
        <w:left w:val="none" w:sz="0" w:space="0" w:color="auto"/>
        <w:bottom w:val="none" w:sz="0" w:space="0" w:color="auto"/>
        <w:right w:val="none" w:sz="0" w:space="0" w:color="auto"/>
      </w:divBdr>
    </w:div>
    <w:div w:id="549804669">
      <w:bodyDiv w:val="1"/>
      <w:marLeft w:val="0"/>
      <w:marRight w:val="0"/>
      <w:marTop w:val="0"/>
      <w:marBottom w:val="0"/>
      <w:divBdr>
        <w:top w:val="none" w:sz="0" w:space="0" w:color="auto"/>
        <w:left w:val="none" w:sz="0" w:space="0" w:color="auto"/>
        <w:bottom w:val="none" w:sz="0" w:space="0" w:color="auto"/>
        <w:right w:val="none" w:sz="0" w:space="0" w:color="auto"/>
      </w:divBdr>
    </w:div>
    <w:div w:id="554007187">
      <w:bodyDiv w:val="1"/>
      <w:marLeft w:val="0"/>
      <w:marRight w:val="0"/>
      <w:marTop w:val="0"/>
      <w:marBottom w:val="0"/>
      <w:divBdr>
        <w:top w:val="none" w:sz="0" w:space="0" w:color="auto"/>
        <w:left w:val="none" w:sz="0" w:space="0" w:color="auto"/>
        <w:bottom w:val="none" w:sz="0" w:space="0" w:color="auto"/>
        <w:right w:val="none" w:sz="0" w:space="0" w:color="auto"/>
      </w:divBdr>
    </w:div>
    <w:div w:id="569849061">
      <w:bodyDiv w:val="1"/>
      <w:marLeft w:val="0"/>
      <w:marRight w:val="0"/>
      <w:marTop w:val="0"/>
      <w:marBottom w:val="0"/>
      <w:divBdr>
        <w:top w:val="none" w:sz="0" w:space="0" w:color="auto"/>
        <w:left w:val="none" w:sz="0" w:space="0" w:color="auto"/>
        <w:bottom w:val="none" w:sz="0" w:space="0" w:color="auto"/>
        <w:right w:val="none" w:sz="0" w:space="0" w:color="auto"/>
      </w:divBdr>
    </w:div>
    <w:div w:id="618603959">
      <w:bodyDiv w:val="1"/>
      <w:marLeft w:val="0"/>
      <w:marRight w:val="0"/>
      <w:marTop w:val="0"/>
      <w:marBottom w:val="0"/>
      <w:divBdr>
        <w:top w:val="none" w:sz="0" w:space="0" w:color="auto"/>
        <w:left w:val="none" w:sz="0" w:space="0" w:color="auto"/>
        <w:bottom w:val="none" w:sz="0" w:space="0" w:color="auto"/>
        <w:right w:val="none" w:sz="0" w:space="0" w:color="auto"/>
      </w:divBdr>
    </w:div>
    <w:div w:id="640503388">
      <w:bodyDiv w:val="1"/>
      <w:marLeft w:val="0"/>
      <w:marRight w:val="0"/>
      <w:marTop w:val="0"/>
      <w:marBottom w:val="0"/>
      <w:divBdr>
        <w:top w:val="none" w:sz="0" w:space="0" w:color="auto"/>
        <w:left w:val="none" w:sz="0" w:space="0" w:color="auto"/>
        <w:bottom w:val="none" w:sz="0" w:space="0" w:color="auto"/>
        <w:right w:val="none" w:sz="0" w:space="0" w:color="auto"/>
      </w:divBdr>
    </w:div>
    <w:div w:id="713891358">
      <w:bodyDiv w:val="1"/>
      <w:marLeft w:val="0"/>
      <w:marRight w:val="0"/>
      <w:marTop w:val="0"/>
      <w:marBottom w:val="0"/>
      <w:divBdr>
        <w:top w:val="none" w:sz="0" w:space="0" w:color="auto"/>
        <w:left w:val="none" w:sz="0" w:space="0" w:color="auto"/>
        <w:bottom w:val="none" w:sz="0" w:space="0" w:color="auto"/>
        <w:right w:val="none" w:sz="0" w:space="0" w:color="auto"/>
      </w:divBdr>
    </w:div>
    <w:div w:id="758140979">
      <w:bodyDiv w:val="1"/>
      <w:marLeft w:val="0"/>
      <w:marRight w:val="0"/>
      <w:marTop w:val="0"/>
      <w:marBottom w:val="0"/>
      <w:divBdr>
        <w:top w:val="none" w:sz="0" w:space="0" w:color="auto"/>
        <w:left w:val="none" w:sz="0" w:space="0" w:color="auto"/>
        <w:bottom w:val="none" w:sz="0" w:space="0" w:color="auto"/>
        <w:right w:val="none" w:sz="0" w:space="0" w:color="auto"/>
      </w:divBdr>
    </w:div>
    <w:div w:id="777873865">
      <w:bodyDiv w:val="1"/>
      <w:marLeft w:val="0"/>
      <w:marRight w:val="0"/>
      <w:marTop w:val="0"/>
      <w:marBottom w:val="0"/>
      <w:divBdr>
        <w:top w:val="none" w:sz="0" w:space="0" w:color="auto"/>
        <w:left w:val="none" w:sz="0" w:space="0" w:color="auto"/>
        <w:bottom w:val="none" w:sz="0" w:space="0" w:color="auto"/>
        <w:right w:val="none" w:sz="0" w:space="0" w:color="auto"/>
      </w:divBdr>
    </w:div>
    <w:div w:id="778791098">
      <w:bodyDiv w:val="1"/>
      <w:marLeft w:val="0"/>
      <w:marRight w:val="0"/>
      <w:marTop w:val="0"/>
      <w:marBottom w:val="0"/>
      <w:divBdr>
        <w:top w:val="none" w:sz="0" w:space="0" w:color="auto"/>
        <w:left w:val="none" w:sz="0" w:space="0" w:color="auto"/>
        <w:bottom w:val="none" w:sz="0" w:space="0" w:color="auto"/>
        <w:right w:val="none" w:sz="0" w:space="0" w:color="auto"/>
      </w:divBdr>
    </w:div>
    <w:div w:id="830877482">
      <w:bodyDiv w:val="1"/>
      <w:marLeft w:val="0"/>
      <w:marRight w:val="0"/>
      <w:marTop w:val="0"/>
      <w:marBottom w:val="0"/>
      <w:divBdr>
        <w:top w:val="none" w:sz="0" w:space="0" w:color="auto"/>
        <w:left w:val="none" w:sz="0" w:space="0" w:color="auto"/>
        <w:bottom w:val="none" w:sz="0" w:space="0" w:color="auto"/>
        <w:right w:val="none" w:sz="0" w:space="0" w:color="auto"/>
      </w:divBdr>
    </w:div>
    <w:div w:id="833833768">
      <w:bodyDiv w:val="1"/>
      <w:marLeft w:val="0"/>
      <w:marRight w:val="0"/>
      <w:marTop w:val="0"/>
      <w:marBottom w:val="0"/>
      <w:divBdr>
        <w:top w:val="none" w:sz="0" w:space="0" w:color="auto"/>
        <w:left w:val="none" w:sz="0" w:space="0" w:color="auto"/>
        <w:bottom w:val="none" w:sz="0" w:space="0" w:color="auto"/>
        <w:right w:val="none" w:sz="0" w:space="0" w:color="auto"/>
      </w:divBdr>
    </w:div>
    <w:div w:id="851843151">
      <w:bodyDiv w:val="1"/>
      <w:marLeft w:val="0"/>
      <w:marRight w:val="0"/>
      <w:marTop w:val="0"/>
      <w:marBottom w:val="0"/>
      <w:divBdr>
        <w:top w:val="none" w:sz="0" w:space="0" w:color="auto"/>
        <w:left w:val="none" w:sz="0" w:space="0" w:color="auto"/>
        <w:bottom w:val="none" w:sz="0" w:space="0" w:color="auto"/>
        <w:right w:val="none" w:sz="0" w:space="0" w:color="auto"/>
      </w:divBdr>
    </w:div>
    <w:div w:id="859970009">
      <w:bodyDiv w:val="1"/>
      <w:marLeft w:val="0"/>
      <w:marRight w:val="0"/>
      <w:marTop w:val="0"/>
      <w:marBottom w:val="0"/>
      <w:divBdr>
        <w:top w:val="none" w:sz="0" w:space="0" w:color="auto"/>
        <w:left w:val="none" w:sz="0" w:space="0" w:color="auto"/>
        <w:bottom w:val="none" w:sz="0" w:space="0" w:color="auto"/>
        <w:right w:val="none" w:sz="0" w:space="0" w:color="auto"/>
      </w:divBdr>
    </w:div>
    <w:div w:id="934483144">
      <w:bodyDiv w:val="1"/>
      <w:marLeft w:val="0"/>
      <w:marRight w:val="0"/>
      <w:marTop w:val="0"/>
      <w:marBottom w:val="0"/>
      <w:divBdr>
        <w:top w:val="none" w:sz="0" w:space="0" w:color="auto"/>
        <w:left w:val="none" w:sz="0" w:space="0" w:color="auto"/>
        <w:bottom w:val="none" w:sz="0" w:space="0" w:color="auto"/>
        <w:right w:val="none" w:sz="0" w:space="0" w:color="auto"/>
      </w:divBdr>
    </w:div>
    <w:div w:id="985360407">
      <w:bodyDiv w:val="1"/>
      <w:marLeft w:val="0"/>
      <w:marRight w:val="0"/>
      <w:marTop w:val="0"/>
      <w:marBottom w:val="0"/>
      <w:divBdr>
        <w:top w:val="none" w:sz="0" w:space="0" w:color="auto"/>
        <w:left w:val="none" w:sz="0" w:space="0" w:color="auto"/>
        <w:bottom w:val="none" w:sz="0" w:space="0" w:color="auto"/>
        <w:right w:val="none" w:sz="0" w:space="0" w:color="auto"/>
      </w:divBdr>
    </w:div>
    <w:div w:id="1031493094">
      <w:bodyDiv w:val="1"/>
      <w:marLeft w:val="0"/>
      <w:marRight w:val="0"/>
      <w:marTop w:val="0"/>
      <w:marBottom w:val="0"/>
      <w:divBdr>
        <w:top w:val="none" w:sz="0" w:space="0" w:color="auto"/>
        <w:left w:val="none" w:sz="0" w:space="0" w:color="auto"/>
        <w:bottom w:val="none" w:sz="0" w:space="0" w:color="auto"/>
        <w:right w:val="none" w:sz="0" w:space="0" w:color="auto"/>
      </w:divBdr>
    </w:div>
    <w:div w:id="1132820168">
      <w:bodyDiv w:val="1"/>
      <w:marLeft w:val="0"/>
      <w:marRight w:val="0"/>
      <w:marTop w:val="0"/>
      <w:marBottom w:val="0"/>
      <w:divBdr>
        <w:top w:val="none" w:sz="0" w:space="0" w:color="auto"/>
        <w:left w:val="none" w:sz="0" w:space="0" w:color="auto"/>
        <w:bottom w:val="none" w:sz="0" w:space="0" w:color="auto"/>
        <w:right w:val="none" w:sz="0" w:space="0" w:color="auto"/>
      </w:divBdr>
    </w:div>
    <w:div w:id="1152256811">
      <w:bodyDiv w:val="1"/>
      <w:marLeft w:val="0"/>
      <w:marRight w:val="0"/>
      <w:marTop w:val="0"/>
      <w:marBottom w:val="0"/>
      <w:divBdr>
        <w:top w:val="none" w:sz="0" w:space="0" w:color="auto"/>
        <w:left w:val="none" w:sz="0" w:space="0" w:color="auto"/>
        <w:bottom w:val="none" w:sz="0" w:space="0" w:color="auto"/>
        <w:right w:val="none" w:sz="0" w:space="0" w:color="auto"/>
      </w:divBdr>
    </w:div>
    <w:div w:id="1209300626">
      <w:bodyDiv w:val="1"/>
      <w:marLeft w:val="0"/>
      <w:marRight w:val="0"/>
      <w:marTop w:val="0"/>
      <w:marBottom w:val="0"/>
      <w:divBdr>
        <w:top w:val="none" w:sz="0" w:space="0" w:color="auto"/>
        <w:left w:val="none" w:sz="0" w:space="0" w:color="auto"/>
        <w:bottom w:val="none" w:sz="0" w:space="0" w:color="auto"/>
        <w:right w:val="none" w:sz="0" w:space="0" w:color="auto"/>
      </w:divBdr>
    </w:div>
    <w:div w:id="1223055012">
      <w:bodyDiv w:val="1"/>
      <w:marLeft w:val="0"/>
      <w:marRight w:val="0"/>
      <w:marTop w:val="0"/>
      <w:marBottom w:val="0"/>
      <w:divBdr>
        <w:top w:val="none" w:sz="0" w:space="0" w:color="auto"/>
        <w:left w:val="none" w:sz="0" w:space="0" w:color="auto"/>
        <w:bottom w:val="none" w:sz="0" w:space="0" w:color="auto"/>
        <w:right w:val="none" w:sz="0" w:space="0" w:color="auto"/>
      </w:divBdr>
    </w:div>
    <w:div w:id="1309478821">
      <w:bodyDiv w:val="1"/>
      <w:marLeft w:val="0"/>
      <w:marRight w:val="0"/>
      <w:marTop w:val="0"/>
      <w:marBottom w:val="0"/>
      <w:divBdr>
        <w:top w:val="none" w:sz="0" w:space="0" w:color="auto"/>
        <w:left w:val="none" w:sz="0" w:space="0" w:color="auto"/>
        <w:bottom w:val="none" w:sz="0" w:space="0" w:color="auto"/>
        <w:right w:val="none" w:sz="0" w:space="0" w:color="auto"/>
      </w:divBdr>
    </w:div>
    <w:div w:id="1390499730">
      <w:bodyDiv w:val="1"/>
      <w:marLeft w:val="0"/>
      <w:marRight w:val="0"/>
      <w:marTop w:val="0"/>
      <w:marBottom w:val="0"/>
      <w:divBdr>
        <w:top w:val="none" w:sz="0" w:space="0" w:color="auto"/>
        <w:left w:val="none" w:sz="0" w:space="0" w:color="auto"/>
        <w:bottom w:val="none" w:sz="0" w:space="0" w:color="auto"/>
        <w:right w:val="none" w:sz="0" w:space="0" w:color="auto"/>
      </w:divBdr>
    </w:div>
    <w:div w:id="1418594186">
      <w:bodyDiv w:val="1"/>
      <w:marLeft w:val="0"/>
      <w:marRight w:val="0"/>
      <w:marTop w:val="0"/>
      <w:marBottom w:val="0"/>
      <w:divBdr>
        <w:top w:val="none" w:sz="0" w:space="0" w:color="auto"/>
        <w:left w:val="none" w:sz="0" w:space="0" w:color="auto"/>
        <w:bottom w:val="none" w:sz="0" w:space="0" w:color="auto"/>
        <w:right w:val="none" w:sz="0" w:space="0" w:color="auto"/>
      </w:divBdr>
    </w:div>
    <w:div w:id="1423525727">
      <w:bodyDiv w:val="1"/>
      <w:marLeft w:val="0"/>
      <w:marRight w:val="0"/>
      <w:marTop w:val="0"/>
      <w:marBottom w:val="0"/>
      <w:divBdr>
        <w:top w:val="none" w:sz="0" w:space="0" w:color="auto"/>
        <w:left w:val="none" w:sz="0" w:space="0" w:color="auto"/>
        <w:bottom w:val="none" w:sz="0" w:space="0" w:color="auto"/>
        <w:right w:val="none" w:sz="0" w:space="0" w:color="auto"/>
      </w:divBdr>
    </w:div>
    <w:div w:id="1445226271">
      <w:bodyDiv w:val="1"/>
      <w:marLeft w:val="0"/>
      <w:marRight w:val="0"/>
      <w:marTop w:val="0"/>
      <w:marBottom w:val="0"/>
      <w:divBdr>
        <w:top w:val="none" w:sz="0" w:space="0" w:color="auto"/>
        <w:left w:val="none" w:sz="0" w:space="0" w:color="auto"/>
        <w:bottom w:val="none" w:sz="0" w:space="0" w:color="auto"/>
        <w:right w:val="none" w:sz="0" w:space="0" w:color="auto"/>
      </w:divBdr>
    </w:div>
    <w:div w:id="1483110553">
      <w:bodyDiv w:val="1"/>
      <w:marLeft w:val="0"/>
      <w:marRight w:val="0"/>
      <w:marTop w:val="0"/>
      <w:marBottom w:val="0"/>
      <w:divBdr>
        <w:top w:val="none" w:sz="0" w:space="0" w:color="auto"/>
        <w:left w:val="none" w:sz="0" w:space="0" w:color="auto"/>
        <w:bottom w:val="none" w:sz="0" w:space="0" w:color="auto"/>
        <w:right w:val="none" w:sz="0" w:space="0" w:color="auto"/>
      </w:divBdr>
    </w:div>
    <w:div w:id="1527210771">
      <w:bodyDiv w:val="1"/>
      <w:marLeft w:val="0"/>
      <w:marRight w:val="0"/>
      <w:marTop w:val="0"/>
      <w:marBottom w:val="0"/>
      <w:divBdr>
        <w:top w:val="none" w:sz="0" w:space="0" w:color="auto"/>
        <w:left w:val="none" w:sz="0" w:space="0" w:color="auto"/>
        <w:bottom w:val="none" w:sz="0" w:space="0" w:color="auto"/>
        <w:right w:val="none" w:sz="0" w:space="0" w:color="auto"/>
      </w:divBdr>
    </w:div>
    <w:div w:id="1551068938">
      <w:bodyDiv w:val="1"/>
      <w:marLeft w:val="0"/>
      <w:marRight w:val="0"/>
      <w:marTop w:val="0"/>
      <w:marBottom w:val="0"/>
      <w:divBdr>
        <w:top w:val="none" w:sz="0" w:space="0" w:color="auto"/>
        <w:left w:val="none" w:sz="0" w:space="0" w:color="auto"/>
        <w:bottom w:val="none" w:sz="0" w:space="0" w:color="auto"/>
        <w:right w:val="none" w:sz="0" w:space="0" w:color="auto"/>
      </w:divBdr>
    </w:div>
    <w:div w:id="1553030991">
      <w:bodyDiv w:val="1"/>
      <w:marLeft w:val="0"/>
      <w:marRight w:val="0"/>
      <w:marTop w:val="0"/>
      <w:marBottom w:val="0"/>
      <w:divBdr>
        <w:top w:val="none" w:sz="0" w:space="0" w:color="auto"/>
        <w:left w:val="none" w:sz="0" w:space="0" w:color="auto"/>
        <w:bottom w:val="none" w:sz="0" w:space="0" w:color="auto"/>
        <w:right w:val="none" w:sz="0" w:space="0" w:color="auto"/>
      </w:divBdr>
    </w:div>
    <w:div w:id="1566910498">
      <w:bodyDiv w:val="1"/>
      <w:marLeft w:val="0"/>
      <w:marRight w:val="0"/>
      <w:marTop w:val="0"/>
      <w:marBottom w:val="0"/>
      <w:divBdr>
        <w:top w:val="none" w:sz="0" w:space="0" w:color="auto"/>
        <w:left w:val="none" w:sz="0" w:space="0" w:color="auto"/>
        <w:bottom w:val="none" w:sz="0" w:space="0" w:color="auto"/>
        <w:right w:val="none" w:sz="0" w:space="0" w:color="auto"/>
      </w:divBdr>
    </w:div>
    <w:div w:id="1624652862">
      <w:bodyDiv w:val="1"/>
      <w:marLeft w:val="0"/>
      <w:marRight w:val="0"/>
      <w:marTop w:val="0"/>
      <w:marBottom w:val="0"/>
      <w:divBdr>
        <w:top w:val="none" w:sz="0" w:space="0" w:color="auto"/>
        <w:left w:val="none" w:sz="0" w:space="0" w:color="auto"/>
        <w:bottom w:val="none" w:sz="0" w:space="0" w:color="auto"/>
        <w:right w:val="none" w:sz="0" w:space="0" w:color="auto"/>
      </w:divBdr>
    </w:div>
    <w:div w:id="1717779100">
      <w:bodyDiv w:val="1"/>
      <w:marLeft w:val="0"/>
      <w:marRight w:val="0"/>
      <w:marTop w:val="0"/>
      <w:marBottom w:val="0"/>
      <w:divBdr>
        <w:top w:val="none" w:sz="0" w:space="0" w:color="auto"/>
        <w:left w:val="none" w:sz="0" w:space="0" w:color="auto"/>
        <w:bottom w:val="none" w:sz="0" w:space="0" w:color="auto"/>
        <w:right w:val="none" w:sz="0" w:space="0" w:color="auto"/>
      </w:divBdr>
    </w:div>
    <w:div w:id="1770152355">
      <w:bodyDiv w:val="1"/>
      <w:marLeft w:val="0"/>
      <w:marRight w:val="0"/>
      <w:marTop w:val="0"/>
      <w:marBottom w:val="0"/>
      <w:divBdr>
        <w:top w:val="none" w:sz="0" w:space="0" w:color="auto"/>
        <w:left w:val="none" w:sz="0" w:space="0" w:color="auto"/>
        <w:bottom w:val="none" w:sz="0" w:space="0" w:color="auto"/>
        <w:right w:val="none" w:sz="0" w:space="0" w:color="auto"/>
      </w:divBdr>
    </w:div>
    <w:div w:id="1838880649">
      <w:bodyDiv w:val="1"/>
      <w:marLeft w:val="0"/>
      <w:marRight w:val="0"/>
      <w:marTop w:val="0"/>
      <w:marBottom w:val="0"/>
      <w:divBdr>
        <w:top w:val="none" w:sz="0" w:space="0" w:color="auto"/>
        <w:left w:val="none" w:sz="0" w:space="0" w:color="auto"/>
        <w:bottom w:val="none" w:sz="0" w:space="0" w:color="auto"/>
        <w:right w:val="none" w:sz="0" w:space="0" w:color="auto"/>
      </w:divBdr>
    </w:div>
    <w:div w:id="1877234763">
      <w:bodyDiv w:val="1"/>
      <w:marLeft w:val="0"/>
      <w:marRight w:val="0"/>
      <w:marTop w:val="0"/>
      <w:marBottom w:val="0"/>
      <w:divBdr>
        <w:top w:val="none" w:sz="0" w:space="0" w:color="auto"/>
        <w:left w:val="none" w:sz="0" w:space="0" w:color="auto"/>
        <w:bottom w:val="none" w:sz="0" w:space="0" w:color="auto"/>
        <w:right w:val="none" w:sz="0" w:space="0" w:color="auto"/>
      </w:divBdr>
    </w:div>
    <w:div w:id="1949699006">
      <w:bodyDiv w:val="1"/>
      <w:marLeft w:val="0"/>
      <w:marRight w:val="0"/>
      <w:marTop w:val="0"/>
      <w:marBottom w:val="0"/>
      <w:divBdr>
        <w:top w:val="none" w:sz="0" w:space="0" w:color="auto"/>
        <w:left w:val="none" w:sz="0" w:space="0" w:color="auto"/>
        <w:bottom w:val="none" w:sz="0" w:space="0" w:color="auto"/>
        <w:right w:val="none" w:sz="0" w:space="0" w:color="auto"/>
      </w:divBdr>
    </w:div>
    <w:div w:id="2127969445">
      <w:bodyDiv w:val="1"/>
      <w:marLeft w:val="0"/>
      <w:marRight w:val="0"/>
      <w:marTop w:val="0"/>
      <w:marBottom w:val="0"/>
      <w:divBdr>
        <w:top w:val="none" w:sz="0" w:space="0" w:color="auto"/>
        <w:left w:val="none" w:sz="0" w:space="0" w:color="auto"/>
        <w:bottom w:val="none" w:sz="0" w:space="0" w:color="auto"/>
        <w:right w:val="none" w:sz="0" w:space="0" w:color="auto"/>
      </w:divBdr>
    </w:div>
    <w:div w:id="21444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13438163-e3c7-492a-92b5-794a81d8dce0"/>
    <ds:schemaRef ds:uri="86a692b9-2c4a-4738-8041-4d0062480306"/>
  </ds:schemaRefs>
</ds:datastoreItem>
</file>

<file path=customXml/itemProps2.xml><?xml version="1.0" encoding="utf-8"?>
<ds:datastoreItem xmlns:ds="http://schemas.openxmlformats.org/officeDocument/2006/customXml" ds:itemID="{61F37042-B50E-4DF2-95D8-AC0C66117819}"/>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Zoe Groves</cp:lastModifiedBy>
  <cp:revision>2</cp:revision>
  <cp:lastPrinted>2017-12-01T15:11:00Z</cp:lastPrinted>
  <dcterms:created xsi:type="dcterms:W3CDTF">2026-03-13T08:42:00Z</dcterms:created>
  <dcterms:modified xsi:type="dcterms:W3CDTF">2026-03-13T08:42:00Z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