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EB03C" w14:textId="77777777" w:rsidR="004466AF" w:rsidRDefault="004466AF" w:rsidP="004466AF">
      <w:pPr>
        <w:spacing w:line="276" w:lineRule="auto"/>
        <w:outlineLvl w:val="0"/>
        <w:rPr>
          <w:rFonts w:cs="Calibri"/>
          <w:b/>
          <w:sz w:val="28"/>
          <w:szCs w:val="28"/>
          <w:u w:val="single"/>
        </w:rPr>
      </w:pPr>
    </w:p>
    <w:p w14:paraId="3C932A2F" w14:textId="6EA85A40" w:rsidR="004466AF" w:rsidRDefault="004466AF" w:rsidP="00CF7090">
      <w:pPr>
        <w:spacing w:line="276" w:lineRule="auto"/>
        <w:outlineLvl w:val="0"/>
        <w:rPr>
          <w:rFonts w:cs="Calibri"/>
          <w:b/>
          <w:sz w:val="24"/>
          <w:szCs w:val="24"/>
          <w:u w:val="single"/>
        </w:rPr>
      </w:pPr>
    </w:p>
    <w:p w14:paraId="4B9B373F" w14:textId="77777777" w:rsidR="00CF7090" w:rsidRDefault="00CF7090" w:rsidP="00CF7090">
      <w:pPr>
        <w:spacing w:line="276" w:lineRule="auto"/>
        <w:outlineLvl w:val="0"/>
        <w:rPr>
          <w:rFonts w:cs="Calibri"/>
          <w:b/>
          <w:sz w:val="24"/>
          <w:szCs w:val="24"/>
          <w:u w:val="single"/>
        </w:rPr>
      </w:pPr>
    </w:p>
    <w:p w14:paraId="6E180FF9" w14:textId="77777777" w:rsidR="004466AF" w:rsidRDefault="004466AF" w:rsidP="004466AF">
      <w:pPr>
        <w:spacing w:line="276" w:lineRule="auto"/>
        <w:jc w:val="center"/>
        <w:outlineLvl w:val="0"/>
        <w:rPr>
          <w:rFonts w:cs="Calibri"/>
          <w:b/>
          <w:sz w:val="24"/>
          <w:szCs w:val="24"/>
          <w:u w:val="single"/>
        </w:rPr>
      </w:pPr>
    </w:p>
    <w:p w14:paraId="624E1B28" w14:textId="67698070" w:rsidR="004466AF" w:rsidRPr="00A56B95" w:rsidRDefault="009216F7" w:rsidP="004466AF">
      <w:pPr>
        <w:spacing w:line="276" w:lineRule="auto"/>
        <w:jc w:val="center"/>
        <w:outlineLvl w:val="0"/>
        <w:rPr>
          <w:rFonts w:ascii="Trebuchet MS" w:hAnsi="Trebuchet MS" w:cs="Calibri"/>
          <w:b/>
          <w:sz w:val="24"/>
          <w:szCs w:val="24"/>
          <w:u w:val="single"/>
        </w:rPr>
      </w:pPr>
      <w:r w:rsidRPr="00A56B95">
        <w:rPr>
          <w:rFonts w:ascii="Trebuchet MS" w:hAnsi="Trebuchet MS" w:cs="Calibri"/>
          <w:b/>
          <w:sz w:val="24"/>
          <w:szCs w:val="24"/>
          <w:u w:val="single"/>
        </w:rPr>
        <w:t xml:space="preserve">Making Connections, </w:t>
      </w:r>
      <w:r w:rsidR="00A56B95" w:rsidRPr="00A56B95">
        <w:rPr>
          <w:rFonts w:ascii="Trebuchet MS" w:hAnsi="Trebuchet MS" w:cs="Calibri"/>
          <w:b/>
          <w:sz w:val="24"/>
          <w:szCs w:val="24"/>
          <w:u w:val="single"/>
        </w:rPr>
        <w:t xml:space="preserve">Cardiff – </w:t>
      </w:r>
      <w:r w:rsidRPr="00A56B95">
        <w:rPr>
          <w:rFonts w:ascii="Trebuchet MS" w:hAnsi="Trebuchet MS" w:cs="Calibri"/>
          <w:b/>
          <w:sz w:val="24"/>
          <w:szCs w:val="24"/>
          <w:u w:val="single"/>
        </w:rPr>
        <w:t>1</w:t>
      </w:r>
      <w:r w:rsidR="00A56B95" w:rsidRPr="00A56B95">
        <w:rPr>
          <w:rFonts w:ascii="Trebuchet MS" w:hAnsi="Trebuchet MS" w:cs="Calibri"/>
          <w:b/>
          <w:sz w:val="24"/>
          <w:szCs w:val="24"/>
          <w:u w:val="single"/>
        </w:rPr>
        <w:t>2</w:t>
      </w:r>
      <w:r w:rsidRPr="00A56B95">
        <w:rPr>
          <w:rFonts w:ascii="Trebuchet MS" w:hAnsi="Trebuchet MS" w:cs="Calibri"/>
          <w:b/>
          <w:sz w:val="24"/>
          <w:szCs w:val="24"/>
          <w:u w:val="single"/>
        </w:rPr>
        <w:t xml:space="preserve"> </w:t>
      </w:r>
      <w:r w:rsidR="00A56B95" w:rsidRPr="00A56B95">
        <w:rPr>
          <w:rFonts w:ascii="Trebuchet MS" w:hAnsi="Trebuchet MS" w:cs="Calibri"/>
          <w:b/>
          <w:sz w:val="24"/>
          <w:szCs w:val="24"/>
          <w:u w:val="single"/>
        </w:rPr>
        <w:t xml:space="preserve">July </w:t>
      </w:r>
      <w:r w:rsidRPr="00A56B95">
        <w:rPr>
          <w:rFonts w:ascii="Trebuchet MS" w:hAnsi="Trebuchet MS" w:cs="Calibri"/>
          <w:b/>
          <w:sz w:val="24"/>
          <w:szCs w:val="24"/>
          <w:u w:val="single"/>
        </w:rPr>
        <w:t>2018, C</w:t>
      </w:r>
      <w:r w:rsidR="00A56B95" w:rsidRPr="00A56B95">
        <w:rPr>
          <w:rFonts w:ascii="Trebuchet MS" w:hAnsi="Trebuchet MS" w:cs="Calibri"/>
          <w:b/>
          <w:sz w:val="24"/>
          <w:szCs w:val="24"/>
          <w:u w:val="single"/>
        </w:rPr>
        <w:t>ardiff Mar</w:t>
      </w:r>
      <w:r w:rsidR="001D5D78">
        <w:rPr>
          <w:rFonts w:ascii="Trebuchet MS" w:hAnsi="Trebuchet MS" w:cs="Calibri"/>
          <w:b/>
          <w:sz w:val="24"/>
          <w:szCs w:val="24"/>
          <w:u w:val="single"/>
        </w:rPr>
        <w:t>r</w:t>
      </w:r>
      <w:r w:rsidR="00A56B95" w:rsidRPr="00A56B95">
        <w:rPr>
          <w:rFonts w:ascii="Trebuchet MS" w:hAnsi="Trebuchet MS" w:cs="Calibri"/>
          <w:b/>
          <w:sz w:val="24"/>
          <w:szCs w:val="24"/>
          <w:u w:val="single"/>
        </w:rPr>
        <w:t>iott</w:t>
      </w:r>
      <w:r w:rsidRPr="00A56B95">
        <w:rPr>
          <w:rFonts w:ascii="Trebuchet MS" w:hAnsi="Trebuchet MS" w:cs="Calibri"/>
          <w:b/>
          <w:sz w:val="24"/>
          <w:szCs w:val="24"/>
          <w:u w:val="single"/>
        </w:rPr>
        <w:t xml:space="preserve">, </w:t>
      </w:r>
      <w:r w:rsidR="00A56B95" w:rsidRPr="00A56B95">
        <w:rPr>
          <w:rFonts w:ascii="Trebuchet MS" w:hAnsi="Trebuchet MS" w:cs="Arial"/>
          <w:b/>
          <w:color w:val="222222"/>
          <w:u w:val="single"/>
          <w:shd w:val="clear" w:color="auto" w:fill="FFFFFF"/>
        </w:rPr>
        <w:t>CF10 1EZ</w:t>
      </w:r>
    </w:p>
    <w:p w14:paraId="57E5B246" w14:textId="77777777" w:rsidR="004466AF" w:rsidRPr="00250329" w:rsidRDefault="004466AF" w:rsidP="004466AF">
      <w:pPr>
        <w:spacing w:line="276" w:lineRule="auto"/>
        <w:ind w:left="-284"/>
        <w:jc w:val="center"/>
        <w:outlineLvl w:val="0"/>
        <w:rPr>
          <w:rFonts w:cs="Calibri"/>
          <w:b/>
          <w:sz w:val="14"/>
          <w:u w:val="singl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1CABADE6" w14:textId="77777777" w:rsidTr="00F24F62">
        <w:trPr>
          <w:trHeight w:val="414"/>
        </w:trPr>
        <w:tc>
          <w:tcPr>
            <w:tcW w:w="2127" w:type="dxa"/>
            <w:shd w:val="clear" w:color="auto" w:fill="31006F"/>
          </w:tcPr>
          <w:p w14:paraId="21F508EA" w14:textId="77777777" w:rsidR="004466AF" w:rsidRPr="00250329" w:rsidRDefault="004466AF" w:rsidP="00425186">
            <w:pPr>
              <w:spacing w:line="360" w:lineRule="auto"/>
              <w:rPr>
                <w:rFonts w:cs="Calibri"/>
                <w:b/>
                <w:color w:val="FFFFFF" w:themeColor="background1"/>
              </w:rPr>
            </w:pPr>
            <w:r w:rsidRPr="00250329">
              <w:rPr>
                <w:rFonts w:cs="Calibri"/>
                <w:b/>
                <w:color w:val="FFFFFF" w:themeColor="background1"/>
              </w:rPr>
              <w:t>10:00 – 10:30</w:t>
            </w:r>
          </w:p>
        </w:tc>
        <w:tc>
          <w:tcPr>
            <w:tcW w:w="7796" w:type="dxa"/>
            <w:shd w:val="clear" w:color="auto" w:fill="31006F"/>
          </w:tcPr>
          <w:p w14:paraId="5063B88C" w14:textId="2AABCA2F" w:rsidR="004466AF" w:rsidRPr="00250329" w:rsidRDefault="004466AF" w:rsidP="00F24F62">
            <w:pPr>
              <w:tabs>
                <w:tab w:val="center" w:pos="3790"/>
              </w:tabs>
              <w:spacing w:line="360" w:lineRule="auto"/>
              <w:rPr>
                <w:rFonts w:cs="Calibri"/>
                <w:b/>
                <w:color w:val="FFFFFF" w:themeColor="background1"/>
              </w:rPr>
            </w:pPr>
            <w:r w:rsidRPr="00250329">
              <w:rPr>
                <w:rFonts w:cs="Calibri"/>
                <w:b/>
                <w:color w:val="FFFFFF" w:themeColor="background1"/>
              </w:rPr>
              <w:t xml:space="preserve">Registration </w:t>
            </w:r>
            <w:r w:rsidR="00F24F62">
              <w:rPr>
                <w:rFonts w:cs="Calibri"/>
                <w:b/>
                <w:color w:val="FFFFFF" w:themeColor="background1"/>
              </w:rPr>
              <w:tab/>
            </w:r>
          </w:p>
        </w:tc>
      </w:tr>
      <w:tr w:rsidR="004466AF" w:rsidRPr="00250329" w14:paraId="5412EAAB" w14:textId="77777777" w:rsidTr="00425186">
        <w:tc>
          <w:tcPr>
            <w:tcW w:w="9923" w:type="dxa"/>
            <w:gridSpan w:val="2"/>
            <w:tcBorders>
              <w:left w:val="nil"/>
              <w:right w:val="nil"/>
            </w:tcBorders>
          </w:tcPr>
          <w:p w14:paraId="013B1EA2" w14:textId="77777777" w:rsidR="004466AF" w:rsidRPr="00250329" w:rsidRDefault="004466AF" w:rsidP="00425186">
            <w:pPr>
              <w:rPr>
                <w:rFonts w:cs="Calibri"/>
                <w:sz w:val="16"/>
                <w:szCs w:val="16"/>
              </w:rPr>
            </w:pPr>
          </w:p>
        </w:tc>
      </w:tr>
      <w:tr w:rsidR="004466AF" w:rsidRPr="00250329" w14:paraId="6B48A177" w14:textId="77777777" w:rsidTr="004466AF">
        <w:trPr>
          <w:trHeight w:val="750"/>
        </w:trPr>
        <w:tc>
          <w:tcPr>
            <w:tcW w:w="2127" w:type="dxa"/>
          </w:tcPr>
          <w:p w14:paraId="74C17657" w14:textId="2CF574B3" w:rsidR="004466AF" w:rsidRPr="00250329" w:rsidRDefault="004466AF" w:rsidP="00425186">
            <w:pPr>
              <w:tabs>
                <w:tab w:val="left" w:pos="2300"/>
              </w:tabs>
              <w:spacing w:line="360" w:lineRule="auto"/>
              <w:rPr>
                <w:rFonts w:cs="Calibri"/>
                <w:b/>
              </w:rPr>
            </w:pPr>
            <w:r w:rsidRPr="00250329">
              <w:rPr>
                <w:rFonts w:cs="Calibri"/>
                <w:b/>
              </w:rPr>
              <w:t>10:30 – 10:45</w:t>
            </w:r>
            <w:r w:rsidRPr="00250329">
              <w:rPr>
                <w:rFonts w:cs="Calibri"/>
                <w:b/>
              </w:rPr>
              <w:tab/>
            </w:r>
          </w:p>
        </w:tc>
        <w:tc>
          <w:tcPr>
            <w:tcW w:w="7796" w:type="dxa"/>
            <w:tcBorders>
              <w:right w:val="single" w:sz="4" w:space="0" w:color="auto"/>
            </w:tcBorders>
          </w:tcPr>
          <w:p w14:paraId="54FF13E1" w14:textId="68CEFD9A" w:rsidR="004466AF" w:rsidRDefault="004466AF" w:rsidP="00425186">
            <w:pPr>
              <w:tabs>
                <w:tab w:val="left" w:pos="2300"/>
              </w:tabs>
              <w:spacing w:line="276" w:lineRule="auto"/>
              <w:rPr>
                <w:rFonts w:cs="Calibri"/>
                <w:b/>
              </w:rPr>
            </w:pPr>
            <w:r w:rsidRPr="00250329">
              <w:rPr>
                <w:rFonts w:cs="Calibri"/>
                <w:b/>
              </w:rPr>
              <w:t>Welcome</w:t>
            </w:r>
          </w:p>
          <w:p w14:paraId="11C3D6F8" w14:textId="2B0B17A1" w:rsidR="004466AF" w:rsidRPr="00B55549" w:rsidRDefault="00D72EBF" w:rsidP="004466AF">
            <w:pPr>
              <w:tabs>
                <w:tab w:val="left" w:pos="2300"/>
              </w:tabs>
              <w:spacing w:line="276" w:lineRule="auto"/>
              <w:rPr>
                <w:rFonts w:cs="Calibri"/>
              </w:rPr>
            </w:pPr>
            <w:r>
              <w:rPr>
                <w:rFonts w:cs="Calibri"/>
              </w:rPr>
              <w:t>Myir</w:t>
            </w:r>
            <w:r w:rsidR="00E9643E">
              <w:rPr>
                <w:rFonts w:cs="Calibri"/>
              </w:rPr>
              <w:t xml:space="preserve">a Khan &amp; Una Cavanagh – </w:t>
            </w:r>
            <w:r w:rsidR="00E9643E" w:rsidRPr="00E9643E">
              <w:rPr>
                <w:rFonts w:cs="Calibri"/>
                <w:i/>
              </w:rPr>
              <w:t>BACP Governors</w:t>
            </w:r>
            <w:r w:rsidR="00E9643E">
              <w:rPr>
                <w:rFonts w:cs="Calibri"/>
              </w:rPr>
              <w:t xml:space="preserve"> </w:t>
            </w:r>
          </w:p>
        </w:tc>
      </w:tr>
      <w:tr w:rsidR="004466AF" w:rsidRPr="00250329" w14:paraId="02E37D4D" w14:textId="77777777" w:rsidTr="00425186">
        <w:trPr>
          <w:trHeight w:val="101"/>
        </w:trPr>
        <w:tc>
          <w:tcPr>
            <w:tcW w:w="9923" w:type="dxa"/>
            <w:gridSpan w:val="2"/>
            <w:tcBorders>
              <w:left w:val="nil"/>
              <w:bottom w:val="single" w:sz="4" w:space="0" w:color="auto"/>
              <w:right w:val="nil"/>
            </w:tcBorders>
          </w:tcPr>
          <w:p w14:paraId="5C6752E2" w14:textId="77777777" w:rsidR="004466AF" w:rsidRPr="00250329" w:rsidRDefault="004466AF" w:rsidP="00425186">
            <w:pPr>
              <w:tabs>
                <w:tab w:val="left" w:pos="2300"/>
              </w:tabs>
              <w:rPr>
                <w:rFonts w:cs="Calibri"/>
                <w:sz w:val="16"/>
                <w:szCs w:val="16"/>
              </w:rPr>
            </w:pPr>
          </w:p>
        </w:tc>
      </w:tr>
      <w:tr w:rsidR="004466AF" w:rsidRPr="00250329" w14:paraId="01512D75" w14:textId="77777777" w:rsidTr="00425186">
        <w:tc>
          <w:tcPr>
            <w:tcW w:w="2127" w:type="dxa"/>
            <w:tcBorders>
              <w:bottom w:val="single" w:sz="4" w:space="0" w:color="auto"/>
            </w:tcBorders>
          </w:tcPr>
          <w:p w14:paraId="6C4A943D" w14:textId="5F15538B" w:rsidR="004466AF" w:rsidRPr="00250329" w:rsidRDefault="004466AF" w:rsidP="00425186">
            <w:pPr>
              <w:tabs>
                <w:tab w:val="left" w:pos="2300"/>
              </w:tabs>
              <w:spacing w:line="360" w:lineRule="auto"/>
              <w:rPr>
                <w:rFonts w:cs="Calibri"/>
                <w:b/>
              </w:rPr>
            </w:pPr>
            <w:r w:rsidRPr="00250329">
              <w:rPr>
                <w:rFonts w:cs="Calibri"/>
                <w:b/>
              </w:rPr>
              <w:t>10:45 – 1</w:t>
            </w:r>
            <w:r w:rsidR="008248D4">
              <w:rPr>
                <w:rFonts w:cs="Calibri"/>
                <w:b/>
              </w:rPr>
              <w:t>1:10</w:t>
            </w:r>
          </w:p>
        </w:tc>
        <w:tc>
          <w:tcPr>
            <w:tcW w:w="7796" w:type="dxa"/>
            <w:tcBorders>
              <w:bottom w:val="single" w:sz="4" w:space="0" w:color="auto"/>
            </w:tcBorders>
          </w:tcPr>
          <w:p w14:paraId="7EBB19C3" w14:textId="6B611376" w:rsidR="008248D4" w:rsidRPr="00BD08C2" w:rsidRDefault="008248D4" w:rsidP="008248D4">
            <w:pPr>
              <w:jc w:val="both"/>
              <w:rPr>
                <w:b/>
              </w:rPr>
            </w:pPr>
            <w:r w:rsidRPr="00BD08C2">
              <w:rPr>
                <w:b/>
              </w:rPr>
              <w:t>Nicola Forshaw – BACP Professional Standards Development Facilitator</w:t>
            </w:r>
          </w:p>
          <w:p w14:paraId="06348AFC" w14:textId="4FCDDEAF" w:rsidR="00BD08C2" w:rsidRPr="00BD08C2" w:rsidRDefault="00BD08C2" w:rsidP="008248D4">
            <w:pPr>
              <w:jc w:val="both"/>
              <w:rPr>
                <w:b/>
              </w:rPr>
            </w:pPr>
            <w:r w:rsidRPr="00BD08C2">
              <w:rPr>
                <w:rFonts w:ascii="Trebuchet MS" w:hAnsi="Trebuchet MS"/>
                <w:b/>
              </w:rPr>
              <w:t xml:space="preserve">What is </w:t>
            </w:r>
            <w:proofErr w:type="spellStart"/>
            <w:r w:rsidRPr="00BD08C2">
              <w:rPr>
                <w:rFonts w:ascii="Trebuchet MS" w:hAnsi="Trebuchet MS"/>
                <w:b/>
              </w:rPr>
              <w:t>SCoPEd</w:t>
            </w:r>
            <w:proofErr w:type="spellEnd"/>
            <w:r w:rsidRPr="00BD08C2">
              <w:rPr>
                <w:rFonts w:ascii="Trebuchet MS" w:hAnsi="Trebuchet MS"/>
                <w:b/>
              </w:rPr>
              <w:t>: Your Information &amp; Involvement</w:t>
            </w:r>
          </w:p>
          <w:p w14:paraId="55E3055A" w14:textId="5032D961" w:rsidR="009E3FD7" w:rsidRPr="009E3FD7" w:rsidRDefault="009E3FD7" w:rsidP="009E3FD7">
            <w:pPr>
              <w:spacing w:line="276" w:lineRule="auto"/>
              <w:jc w:val="both"/>
              <w:rPr>
                <w:rFonts w:cs="Arial"/>
                <w:b/>
                <w:bCs/>
                <w:sz w:val="16"/>
                <w:szCs w:val="16"/>
              </w:rPr>
            </w:pPr>
          </w:p>
        </w:tc>
      </w:tr>
      <w:tr w:rsidR="004466AF" w:rsidRPr="00250329" w14:paraId="4A1DD4CC" w14:textId="77777777" w:rsidTr="00425186">
        <w:trPr>
          <w:trHeight w:val="227"/>
        </w:trPr>
        <w:tc>
          <w:tcPr>
            <w:tcW w:w="2127" w:type="dxa"/>
            <w:tcBorders>
              <w:top w:val="single" w:sz="4" w:space="0" w:color="auto"/>
              <w:left w:val="nil"/>
              <w:bottom w:val="single" w:sz="4" w:space="0" w:color="auto"/>
              <w:right w:val="nil"/>
            </w:tcBorders>
          </w:tcPr>
          <w:p w14:paraId="22499A3A" w14:textId="77777777" w:rsidR="004466AF" w:rsidRPr="00250329" w:rsidRDefault="004466AF" w:rsidP="00425186">
            <w:pPr>
              <w:tabs>
                <w:tab w:val="left" w:pos="2300"/>
              </w:tabs>
              <w:rPr>
                <w:rFonts w:cs="Calibri"/>
                <w:b/>
                <w:sz w:val="16"/>
                <w:szCs w:val="16"/>
              </w:rPr>
            </w:pPr>
          </w:p>
        </w:tc>
        <w:tc>
          <w:tcPr>
            <w:tcW w:w="7796" w:type="dxa"/>
            <w:tcBorders>
              <w:top w:val="single" w:sz="4" w:space="0" w:color="auto"/>
              <w:left w:val="nil"/>
              <w:bottom w:val="single" w:sz="4" w:space="0" w:color="auto"/>
              <w:right w:val="nil"/>
            </w:tcBorders>
          </w:tcPr>
          <w:p w14:paraId="7CAE69CD" w14:textId="77777777" w:rsidR="004466AF" w:rsidRPr="00250329" w:rsidRDefault="004466AF" w:rsidP="00425186">
            <w:pPr>
              <w:spacing w:line="276" w:lineRule="auto"/>
              <w:rPr>
                <w:rFonts w:cs="Calibri"/>
                <w:b/>
                <w:sz w:val="16"/>
                <w:szCs w:val="16"/>
              </w:rPr>
            </w:pPr>
          </w:p>
        </w:tc>
      </w:tr>
      <w:tr w:rsidR="004466AF" w:rsidRPr="00250329" w14:paraId="1E8B6AC2" w14:textId="77777777" w:rsidTr="00425186">
        <w:tc>
          <w:tcPr>
            <w:tcW w:w="2127" w:type="dxa"/>
            <w:tcBorders>
              <w:top w:val="single" w:sz="4" w:space="0" w:color="auto"/>
            </w:tcBorders>
          </w:tcPr>
          <w:p w14:paraId="757966F4" w14:textId="0D33DB1D" w:rsidR="004466AF" w:rsidRPr="00250329" w:rsidRDefault="00F04032" w:rsidP="00425186">
            <w:pPr>
              <w:spacing w:line="360" w:lineRule="auto"/>
              <w:rPr>
                <w:rFonts w:cs="Calibri"/>
                <w:b/>
              </w:rPr>
            </w:pPr>
            <w:r>
              <w:rPr>
                <w:rFonts w:cs="Calibri"/>
                <w:b/>
              </w:rPr>
              <w:t>11</w:t>
            </w:r>
            <w:r w:rsidR="006C09C0">
              <w:rPr>
                <w:rFonts w:cs="Calibri"/>
                <w:b/>
              </w:rPr>
              <w:t>:</w:t>
            </w:r>
            <w:r>
              <w:rPr>
                <w:rFonts w:cs="Calibri"/>
                <w:b/>
              </w:rPr>
              <w:t>10 – 12:00</w:t>
            </w:r>
          </w:p>
        </w:tc>
        <w:tc>
          <w:tcPr>
            <w:tcW w:w="7796" w:type="dxa"/>
            <w:tcBorders>
              <w:top w:val="single" w:sz="4" w:space="0" w:color="auto"/>
            </w:tcBorders>
          </w:tcPr>
          <w:p w14:paraId="3BA01083" w14:textId="78A11AF9" w:rsidR="009E3FD7" w:rsidRDefault="004F634C" w:rsidP="009E3FD7">
            <w:pPr>
              <w:spacing w:line="276" w:lineRule="auto"/>
              <w:rPr>
                <w:rFonts w:eastAsia="Calibri"/>
                <w:b/>
              </w:rPr>
            </w:pPr>
            <w:r>
              <w:rPr>
                <w:rFonts w:eastAsia="Calibri"/>
                <w:b/>
              </w:rPr>
              <w:t xml:space="preserve">Nicola Blunden </w:t>
            </w:r>
            <w:r w:rsidR="00585F62">
              <w:rPr>
                <w:rFonts w:eastAsia="Calibri"/>
                <w:b/>
              </w:rPr>
              <w:t>–</w:t>
            </w:r>
            <w:r>
              <w:rPr>
                <w:rFonts w:eastAsia="Calibri"/>
                <w:b/>
              </w:rPr>
              <w:t xml:space="preserve"> </w:t>
            </w:r>
            <w:r w:rsidR="00585F62">
              <w:rPr>
                <w:rFonts w:eastAsia="Calibri"/>
                <w:b/>
              </w:rPr>
              <w:t>Ethical decision making in supervision</w:t>
            </w:r>
          </w:p>
          <w:p w14:paraId="4DCF0AB7" w14:textId="77777777" w:rsidR="00585F62" w:rsidRPr="00585F62" w:rsidRDefault="00585F62" w:rsidP="00585F62">
            <w:pPr>
              <w:spacing w:after="120" w:line="252" w:lineRule="auto"/>
              <w:rPr>
                <w:rFonts w:ascii="Trebuchet MS" w:eastAsia="Calibri" w:hAnsi="Trebuchet MS" w:cs="Times New Roman"/>
                <w:lang w:val="en-US"/>
              </w:rPr>
            </w:pPr>
            <w:r w:rsidRPr="00585F62">
              <w:rPr>
                <w:rFonts w:ascii="Trebuchet MS" w:eastAsia="Calibri" w:hAnsi="Trebuchet MS" w:cs="Times New Roman"/>
                <w:lang w:val="en-US"/>
              </w:rPr>
              <w:t>Ethical dilemmas often raise our anxiety as practitioners. Supervision is the space where we can take these complex and nuanced situations, to be explored slowly and in rich detail, so that the various consequences of our possible choices can be carefully thought-through. To ensure that we have provided a good enough space for this deliberation, supervision can fall back upon one of its founding models, the Cyclical Model, developed by Steve Page and Val Wosket. This model is commonly used in supervision to structure and guide sessions. When we understand and use the model ourselves as supervisees, we can become better informed partners in our supervision. As supervisors, this model helps us to hold and boundary the reflective process, ensuring that supervision is time well spent. In this session, I’ll introduce you to the model, and how it can be blended with the BACP’s excellent tool for ethical decision-making.</w:t>
            </w:r>
          </w:p>
          <w:p w14:paraId="5794BB04" w14:textId="1ADAF43C" w:rsidR="00585F62" w:rsidRPr="00585F62" w:rsidRDefault="00585F62" w:rsidP="009E3FD7">
            <w:pPr>
              <w:spacing w:line="276" w:lineRule="auto"/>
              <w:rPr>
                <w:rFonts w:eastAsia="Calibri"/>
                <w:bCs/>
              </w:rPr>
            </w:pPr>
          </w:p>
          <w:p w14:paraId="1F884B93" w14:textId="14DD56BA" w:rsidR="00585F62" w:rsidRPr="00585F62" w:rsidRDefault="00585F62" w:rsidP="00585F62">
            <w:pPr>
              <w:spacing w:line="252" w:lineRule="auto"/>
              <w:ind w:left="34"/>
              <w:rPr>
                <w:rFonts w:ascii="Trebuchet MS" w:eastAsia="Calibri" w:hAnsi="Trebuchet MS" w:cs="Times New Roman"/>
              </w:rPr>
            </w:pPr>
            <w:r w:rsidRPr="00585F62">
              <w:rPr>
                <w:rFonts w:ascii="Trebuchet MS" w:eastAsia="Calibri" w:hAnsi="Trebuchet MS" w:cs="Times New Roman"/>
              </w:rPr>
              <w:t xml:space="preserve">Nicola is a counsellor and psychotherapist with twenty </w:t>
            </w:r>
            <w:r w:rsidR="00F16599" w:rsidRPr="00585F62">
              <w:rPr>
                <w:rFonts w:ascii="Trebuchet MS" w:eastAsia="Calibri" w:hAnsi="Trebuchet MS" w:cs="Times New Roman"/>
              </w:rPr>
              <w:t>years’ experience</w:t>
            </w:r>
            <w:r w:rsidRPr="00585F62">
              <w:rPr>
                <w:rFonts w:ascii="Trebuchet MS" w:eastAsia="Calibri" w:hAnsi="Trebuchet MS" w:cs="Times New Roman"/>
              </w:rPr>
              <w:t xml:space="preserve"> in private practice, commercial and voluntary settings. She is a supervisor to therapists and allied professionals. In addition, she is course leader for the Masters Programme in Consultative Supervision, at the University of South Wales, where she also leads the research and dissertation masters’ stage of the counselling programmes. She values compassion, transparency, and presence, and hopes to embody these qualities in all her professional settings. She is currently working on two research projects: supervisee wellbeing; and the co-production of a supervision ethics framework for health and social care professions.</w:t>
            </w:r>
          </w:p>
          <w:p w14:paraId="5CD86EE6" w14:textId="77777777" w:rsidR="00585F62" w:rsidRPr="00585F62" w:rsidRDefault="00585F62" w:rsidP="009E3FD7">
            <w:pPr>
              <w:spacing w:line="276" w:lineRule="auto"/>
              <w:rPr>
                <w:rFonts w:eastAsia="Calibri"/>
                <w:bCs/>
              </w:rPr>
            </w:pPr>
          </w:p>
          <w:p w14:paraId="4E1F36F0" w14:textId="6E29AA88" w:rsidR="004466AF" w:rsidRPr="009E3FD7" w:rsidRDefault="004466AF" w:rsidP="009E3FD7">
            <w:pPr>
              <w:spacing w:line="276" w:lineRule="auto"/>
              <w:rPr>
                <w:rFonts w:eastAsia="Calibri"/>
                <w:b/>
                <w:bCs/>
              </w:rPr>
            </w:pPr>
          </w:p>
        </w:tc>
      </w:tr>
      <w:tr w:rsidR="004466AF" w:rsidRPr="00250329" w14:paraId="2DD2509B" w14:textId="77777777" w:rsidTr="00425186">
        <w:trPr>
          <w:trHeight w:val="127"/>
        </w:trPr>
        <w:tc>
          <w:tcPr>
            <w:tcW w:w="9923" w:type="dxa"/>
            <w:gridSpan w:val="2"/>
            <w:tcBorders>
              <w:left w:val="nil"/>
              <w:right w:val="nil"/>
            </w:tcBorders>
          </w:tcPr>
          <w:p w14:paraId="658B5896" w14:textId="77777777" w:rsidR="004466AF" w:rsidRPr="00250329" w:rsidRDefault="004466AF" w:rsidP="00425186">
            <w:pPr>
              <w:rPr>
                <w:rFonts w:cs="Calibri"/>
                <w:sz w:val="16"/>
                <w:szCs w:val="16"/>
              </w:rPr>
            </w:pPr>
          </w:p>
        </w:tc>
      </w:tr>
      <w:tr w:rsidR="004466AF" w:rsidRPr="00250329" w14:paraId="2849B9F5" w14:textId="77777777" w:rsidTr="00425186">
        <w:trPr>
          <w:trHeight w:val="1254"/>
        </w:trPr>
        <w:tc>
          <w:tcPr>
            <w:tcW w:w="2127" w:type="dxa"/>
          </w:tcPr>
          <w:p w14:paraId="786B032D" w14:textId="6BDD2DCE" w:rsidR="004466AF" w:rsidRPr="00250329" w:rsidRDefault="004466AF" w:rsidP="00425186">
            <w:pPr>
              <w:spacing w:line="360" w:lineRule="auto"/>
              <w:rPr>
                <w:rFonts w:cs="Calibri"/>
                <w:b/>
              </w:rPr>
            </w:pPr>
            <w:r w:rsidRPr="00250329">
              <w:rPr>
                <w:rFonts w:cs="Calibri"/>
                <w:b/>
              </w:rPr>
              <w:t>12:</w:t>
            </w:r>
            <w:r w:rsidR="00F04032">
              <w:rPr>
                <w:rFonts w:cs="Calibri"/>
                <w:b/>
              </w:rPr>
              <w:t>00</w:t>
            </w:r>
            <w:r w:rsidRPr="00250329">
              <w:rPr>
                <w:rFonts w:cs="Calibri"/>
                <w:b/>
              </w:rPr>
              <w:t xml:space="preserve"> – 1</w:t>
            </w:r>
            <w:r w:rsidR="00F04032">
              <w:rPr>
                <w:rFonts w:cs="Calibri"/>
                <w:b/>
              </w:rPr>
              <w:t>2:20</w:t>
            </w:r>
          </w:p>
        </w:tc>
        <w:tc>
          <w:tcPr>
            <w:tcW w:w="7796" w:type="dxa"/>
          </w:tcPr>
          <w:p w14:paraId="60B1DAE5" w14:textId="0B20DCC9" w:rsidR="004466AF" w:rsidRDefault="004466AF" w:rsidP="004466AF">
            <w:pPr>
              <w:rPr>
                <w:b/>
                <w:bCs/>
              </w:rPr>
            </w:pPr>
            <w:r>
              <w:rPr>
                <w:b/>
                <w:bCs/>
              </w:rPr>
              <w:t>Local m</w:t>
            </w:r>
            <w:r w:rsidRPr="00250329">
              <w:rPr>
                <w:b/>
                <w:bCs/>
              </w:rPr>
              <w:t>ember two minute platforms</w:t>
            </w:r>
            <w:r w:rsidR="001B7796">
              <w:rPr>
                <w:b/>
                <w:bCs/>
              </w:rPr>
              <w:t xml:space="preserve"> </w:t>
            </w:r>
          </w:p>
          <w:p w14:paraId="7F455751" w14:textId="77777777" w:rsidR="004466AF" w:rsidRDefault="004466AF" w:rsidP="004466AF">
            <w:pPr>
              <w:rPr>
                <w:b/>
                <w:bCs/>
              </w:rPr>
            </w:pPr>
          </w:p>
          <w:p w14:paraId="5E7297C5" w14:textId="482982F4" w:rsidR="004466AF" w:rsidRPr="004466AF" w:rsidRDefault="004466AF" w:rsidP="004466AF">
            <w:pPr>
              <w:rPr>
                <w:bCs/>
              </w:rPr>
            </w:pPr>
            <w:r w:rsidRPr="004466AF">
              <w:rPr>
                <w:bCs/>
              </w:rPr>
              <w:t>1.</w:t>
            </w:r>
            <w:r w:rsidR="004F634C">
              <w:rPr>
                <w:bCs/>
              </w:rPr>
              <w:t xml:space="preserve"> Amanda Collins </w:t>
            </w:r>
            <w:r w:rsidR="00BD08C2">
              <w:rPr>
                <w:bCs/>
              </w:rPr>
              <w:t xml:space="preserve">– South Wales Police Collaboration with the MIND </w:t>
            </w:r>
            <w:proofErr w:type="spellStart"/>
            <w:r w:rsidR="00BD08C2">
              <w:rPr>
                <w:bCs/>
              </w:rPr>
              <w:t>Cymru</w:t>
            </w:r>
            <w:proofErr w:type="spellEnd"/>
            <w:r w:rsidR="00BD08C2">
              <w:rPr>
                <w:bCs/>
              </w:rPr>
              <w:t xml:space="preserve"> ‘Blue Light Project’</w:t>
            </w:r>
          </w:p>
          <w:p w14:paraId="4C864082" w14:textId="7BCBC791" w:rsidR="00BD08C2" w:rsidRDefault="004466AF" w:rsidP="00BD08C2">
            <w:pPr>
              <w:rPr>
                <w:color w:val="002060"/>
                <w:lang w:eastAsia="en-GB"/>
              </w:rPr>
            </w:pPr>
            <w:r w:rsidRPr="004466AF">
              <w:rPr>
                <w:bCs/>
              </w:rPr>
              <w:t>2.</w:t>
            </w:r>
            <w:r w:rsidR="00BD08C2">
              <w:rPr>
                <w:bCs/>
              </w:rPr>
              <w:t xml:space="preserve">Steve </w:t>
            </w:r>
            <w:r w:rsidR="00BD08C2" w:rsidRPr="00BD08C2">
              <w:rPr>
                <w:bCs/>
              </w:rPr>
              <w:t xml:space="preserve">Mulligan – BACP </w:t>
            </w:r>
            <w:r w:rsidR="00BD08C2" w:rsidRPr="00BD08C2">
              <w:rPr>
                <w:sz w:val="24"/>
                <w:szCs w:val="24"/>
                <w:lang w:eastAsia="en-GB"/>
              </w:rPr>
              <w:t>Policy and Engagement Lead – Four Nations</w:t>
            </w:r>
          </w:p>
          <w:p w14:paraId="40601A40" w14:textId="22CC3C07" w:rsidR="004466AF" w:rsidRPr="004466AF" w:rsidRDefault="004466AF" w:rsidP="004466AF">
            <w:pPr>
              <w:rPr>
                <w:bCs/>
              </w:rPr>
            </w:pPr>
          </w:p>
          <w:p w14:paraId="6AF91FC4" w14:textId="77777777" w:rsidR="004466AF" w:rsidRPr="004466AF" w:rsidRDefault="004466AF" w:rsidP="004466AF">
            <w:pPr>
              <w:rPr>
                <w:bCs/>
              </w:rPr>
            </w:pPr>
            <w:r w:rsidRPr="004466AF">
              <w:rPr>
                <w:bCs/>
              </w:rPr>
              <w:lastRenderedPageBreak/>
              <w:t>3.</w:t>
            </w:r>
          </w:p>
          <w:p w14:paraId="18F2739B" w14:textId="1F878C90" w:rsidR="004466AF" w:rsidRPr="00585F62" w:rsidRDefault="004466AF" w:rsidP="004466AF">
            <w:pPr>
              <w:rPr>
                <w:bCs/>
              </w:rPr>
            </w:pPr>
            <w:r w:rsidRPr="004466AF">
              <w:rPr>
                <w:bCs/>
              </w:rPr>
              <w:t>4.</w:t>
            </w:r>
          </w:p>
        </w:tc>
      </w:tr>
    </w:tbl>
    <w:p w14:paraId="3FBC0081" w14:textId="77777777" w:rsidR="004466AF" w:rsidRPr="00250329" w:rsidRDefault="004466AF" w:rsidP="004466AF">
      <w:pPr>
        <w:rPr>
          <w:sz w:val="12"/>
          <w:szCs w:val="1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51621401" w14:textId="77777777" w:rsidTr="00F24F62">
        <w:trPr>
          <w:trHeight w:val="385"/>
        </w:trPr>
        <w:tc>
          <w:tcPr>
            <w:tcW w:w="2127" w:type="dxa"/>
            <w:tcBorders>
              <w:top w:val="single" w:sz="4" w:space="0" w:color="auto"/>
              <w:bottom w:val="single" w:sz="4" w:space="0" w:color="auto"/>
            </w:tcBorders>
            <w:shd w:val="clear" w:color="auto" w:fill="31006F"/>
          </w:tcPr>
          <w:p w14:paraId="2A6C3DEA" w14:textId="015B67A5" w:rsidR="004466AF" w:rsidRPr="00250329" w:rsidRDefault="004466AF" w:rsidP="00425186">
            <w:pPr>
              <w:rPr>
                <w:rFonts w:cs="Calibri"/>
                <w:b/>
                <w:color w:val="FFFFFF"/>
              </w:rPr>
            </w:pPr>
            <w:r w:rsidRPr="00250329">
              <w:rPr>
                <w:rFonts w:cs="Calibri"/>
                <w:b/>
                <w:color w:val="FFFFFF"/>
              </w:rPr>
              <w:t>1</w:t>
            </w:r>
            <w:r w:rsidR="00F04032">
              <w:rPr>
                <w:rFonts w:cs="Calibri"/>
                <w:b/>
                <w:color w:val="FFFFFF"/>
              </w:rPr>
              <w:t>2</w:t>
            </w:r>
            <w:r w:rsidRPr="00250329">
              <w:rPr>
                <w:rFonts w:cs="Calibri"/>
                <w:b/>
                <w:color w:val="FFFFFF"/>
              </w:rPr>
              <w:t>:</w:t>
            </w:r>
            <w:r w:rsidR="00F04032">
              <w:rPr>
                <w:rFonts w:cs="Calibri"/>
                <w:b/>
                <w:color w:val="FFFFFF"/>
              </w:rPr>
              <w:t>20</w:t>
            </w:r>
            <w:r w:rsidRPr="00250329">
              <w:rPr>
                <w:rFonts w:cs="Calibri"/>
                <w:b/>
                <w:color w:val="FFFFFF"/>
              </w:rPr>
              <w:t xml:space="preserve"> – 1</w:t>
            </w:r>
            <w:r w:rsidR="00F04032">
              <w:rPr>
                <w:rFonts w:cs="Calibri"/>
                <w:b/>
                <w:color w:val="FFFFFF"/>
              </w:rPr>
              <w:t>3:20</w:t>
            </w:r>
          </w:p>
        </w:tc>
        <w:tc>
          <w:tcPr>
            <w:tcW w:w="7796" w:type="dxa"/>
            <w:tcBorders>
              <w:top w:val="single" w:sz="4" w:space="0" w:color="auto"/>
              <w:bottom w:val="single" w:sz="4" w:space="0" w:color="auto"/>
            </w:tcBorders>
            <w:shd w:val="clear" w:color="auto" w:fill="31006F"/>
          </w:tcPr>
          <w:p w14:paraId="159006D0" w14:textId="77777777" w:rsidR="004466AF" w:rsidRPr="00250329" w:rsidRDefault="004466AF" w:rsidP="00425186">
            <w:pPr>
              <w:rPr>
                <w:rFonts w:cs="Calibri"/>
                <w:b/>
                <w:color w:val="FFFFFF"/>
              </w:rPr>
            </w:pPr>
            <w:r w:rsidRPr="00250329">
              <w:rPr>
                <w:rFonts w:cs="Calibri"/>
                <w:b/>
                <w:color w:val="FFFFFF"/>
              </w:rPr>
              <w:t>Light lunch</w:t>
            </w:r>
          </w:p>
        </w:tc>
      </w:tr>
    </w:tbl>
    <w:p w14:paraId="3AA65E47" w14:textId="7AF6ED60" w:rsidR="004466AF" w:rsidRDefault="004466AF" w:rsidP="004466AF"/>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768"/>
      </w:tblGrid>
      <w:tr w:rsidR="00F04032" w:rsidRPr="00250329" w14:paraId="0759D1CE" w14:textId="77777777" w:rsidTr="00962F74">
        <w:tc>
          <w:tcPr>
            <w:tcW w:w="2155" w:type="dxa"/>
            <w:tcBorders>
              <w:top w:val="single" w:sz="4" w:space="0" w:color="auto"/>
              <w:left w:val="single" w:sz="4" w:space="0" w:color="auto"/>
              <w:bottom w:val="single" w:sz="4" w:space="0" w:color="auto"/>
              <w:right w:val="single" w:sz="4" w:space="0" w:color="auto"/>
            </w:tcBorders>
            <w:shd w:val="clear" w:color="auto" w:fill="auto"/>
          </w:tcPr>
          <w:p w14:paraId="3060CB23" w14:textId="4EEB598A" w:rsidR="00F04032" w:rsidRPr="00250329" w:rsidRDefault="00F04032" w:rsidP="00C97141">
            <w:pPr>
              <w:spacing w:line="360" w:lineRule="auto"/>
              <w:rPr>
                <w:rFonts w:cs="Calibri"/>
                <w:b/>
              </w:rPr>
            </w:pPr>
            <w:r>
              <w:rPr>
                <w:rFonts w:cs="Calibri"/>
                <w:b/>
              </w:rPr>
              <w:t>13:20 – 13</w:t>
            </w:r>
            <w:r w:rsidRPr="00250329">
              <w:rPr>
                <w:rFonts w:cs="Calibri"/>
                <w:b/>
              </w:rPr>
              <w:t>:</w:t>
            </w:r>
            <w:r>
              <w:rPr>
                <w:rFonts w:cs="Calibri"/>
                <w:b/>
              </w:rPr>
              <w:t>30</w:t>
            </w:r>
          </w:p>
        </w:tc>
        <w:tc>
          <w:tcPr>
            <w:tcW w:w="7768" w:type="dxa"/>
            <w:tcBorders>
              <w:top w:val="single" w:sz="4" w:space="0" w:color="auto"/>
              <w:left w:val="single" w:sz="4" w:space="0" w:color="auto"/>
              <w:bottom w:val="single" w:sz="4" w:space="0" w:color="auto"/>
              <w:right w:val="single" w:sz="4" w:space="0" w:color="auto"/>
            </w:tcBorders>
            <w:shd w:val="clear" w:color="auto" w:fill="auto"/>
          </w:tcPr>
          <w:p w14:paraId="0C5DD8FB" w14:textId="77777777" w:rsidR="00F04032" w:rsidRPr="00250329" w:rsidRDefault="00F04032" w:rsidP="00C97141">
            <w:pPr>
              <w:pStyle w:val="NormalWeb"/>
              <w:spacing w:before="0" w:beforeAutospacing="0" w:after="0" w:afterAutospacing="0" w:line="276" w:lineRule="auto"/>
              <w:rPr>
                <w:rFonts w:asciiTheme="minorHAnsi" w:hAnsiTheme="minorHAnsi" w:cs="Calibri"/>
                <w:b/>
              </w:rPr>
            </w:pPr>
            <w:r w:rsidRPr="00250329">
              <w:rPr>
                <w:rFonts w:asciiTheme="minorHAnsi" w:hAnsiTheme="minorHAnsi" w:cs="Calibri"/>
                <w:b/>
              </w:rPr>
              <w:t>Introduction of ‘Connecting together’</w:t>
            </w:r>
          </w:p>
        </w:tc>
      </w:tr>
      <w:tr w:rsidR="00F04032" w:rsidRPr="00250329" w14:paraId="34F8ACCE" w14:textId="77777777" w:rsidTr="00962F74">
        <w:trPr>
          <w:trHeight w:val="81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1D8E371" w14:textId="1E0352E8" w:rsidR="00F04032" w:rsidRDefault="00F04032" w:rsidP="00425186">
            <w:pPr>
              <w:rPr>
                <w:rFonts w:cs="Calibri"/>
                <w:b/>
              </w:rPr>
            </w:pPr>
            <w:r>
              <w:rPr>
                <w:rFonts w:cs="Calibri"/>
                <w:b/>
              </w:rPr>
              <w:t>13:30 – 14:00</w:t>
            </w:r>
          </w:p>
        </w:tc>
        <w:tc>
          <w:tcPr>
            <w:tcW w:w="7768" w:type="dxa"/>
            <w:tcBorders>
              <w:top w:val="single" w:sz="4" w:space="0" w:color="auto"/>
              <w:left w:val="single" w:sz="4" w:space="0" w:color="auto"/>
              <w:bottom w:val="single" w:sz="4" w:space="0" w:color="auto"/>
              <w:right w:val="single" w:sz="4" w:space="0" w:color="auto"/>
            </w:tcBorders>
            <w:shd w:val="clear" w:color="auto" w:fill="auto"/>
          </w:tcPr>
          <w:p w14:paraId="589A5D43" w14:textId="20DE8595" w:rsidR="00962F74" w:rsidRPr="00250329" w:rsidRDefault="00B049B5" w:rsidP="00425186">
            <w:pPr>
              <w:rPr>
                <w:rFonts w:cs="Calibri"/>
                <w:b/>
              </w:rPr>
            </w:pPr>
            <w:r>
              <w:rPr>
                <w:rFonts w:cs="Calibri"/>
                <w:b/>
              </w:rPr>
              <w:t>Lynne Neagle</w:t>
            </w:r>
            <w:r w:rsidR="001B1D24">
              <w:rPr>
                <w:rFonts w:cs="Calibri"/>
                <w:b/>
              </w:rPr>
              <w:t>, National Assembly for Wales</w:t>
            </w:r>
            <w:r>
              <w:rPr>
                <w:rFonts w:cs="Calibri"/>
                <w:b/>
              </w:rPr>
              <w:t xml:space="preserve"> – Mind over Matter report</w:t>
            </w:r>
          </w:p>
        </w:tc>
      </w:tr>
      <w:tr w:rsidR="004466AF" w:rsidRPr="00250329" w14:paraId="6AA7AD8F" w14:textId="77777777" w:rsidTr="00962F74">
        <w:trPr>
          <w:trHeight w:val="2128"/>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B7BA38F" w14:textId="1352B9E1" w:rsidR="004466AF" w:rsidRPr="00250329" w:rsidRDefault="0086147E" w:rsidP="00425186">
            <w:pPr>
              <w:rPr>
                <w:rFonts w:cs="Calibri"/>
                <w:b/>
                <w:color w:val="FFFFFF"/>
              </w:rPr>
            </w:pPr>
            <w:r>
              <w:rPr>
                <w:rFonts w:cs="Calibri"/>
                <w:b/>
              </w:rPr>
              <w:t>14:00</w:t>
            </w:r>
            <w:r w:rsidR="004466AF" w:rsidRPr="00250329">
              <w:rPr>
                <w:rFonts w:cs="Calibri"/>
                <w:b/>
              </w:rPr>
              <w:t xml:space="preserve"> – 14:</w:t>
            </w:r>
            <w:r w:rsidR="006C09C0">
              <w:rPr>
                <w:rFonts w:cs="Calibri"/>
                <w:b/>
              </w:rPr>
              <w:t>45</w:t>
            </w:r>
          </w:p>
        </w:tc>
        <w:tc>
          <w:tcPr>
            <w:tcW w:w="7768" w:type="dxa"/>
            <w:tcBorders>
              <w:top w:val="single" w:sz="4" w:space="0" w:color="auto"/>
              <w:left w:val="single" w:sz="4" w:space="0" w:color="auto"/>
              <w:bottom w:val="single" w:sz="4" w:space="0" w:color="auto"/>
              <w:right w:val="single" w:sz="4" w:space="0" w:color="auto"/>
            </w:tcBorders>
            <w:shd w:val="clear" w:color="auto" w:fill="auto"/>
          </w:tcPr>
          <w:p w14:paraId="713E6FA6" w14:textId="28321639" w:rsidR="004466AF" w:rsidRPr="00250329" w:rsidRDefault="004466AF" w:rsidP="00425186">
            <w:pPr>
              <w:rPr>
                <w:rFonts w:cs="Calibri"/>
                <w:b/>
              </w:rPr>
            </w:pPr>
            <w:r w:rsidRPr="00250329">
              <w:rPr>
                <w:rFonts w:cs="Calibri"/>
                <w:b/>
              </w:rPr>
              <w:t>Connecting together</w:t>
            </w:r>
            <w:r w:rsidR="00962F74">
              <w:rPr>
                <w:rFonts w:cs="Calibri"/>
                <w:b/>
              </w:rPr>
              <w:t xml:space="preserve"> </w:t>
            </w:r>
          </w:p>
          <w:p w14:paraId="034E372F" w14:textId="0E26EC84" w:rsidR="009E3FD7" w:rsidRPr="00B049B5" w:rsidRDefault="004466AF" w:rsidP="00425186">
            <w:pPr>
              <w:spacing w:before="240" w:line="276" w:lineRule="auto"/>
              <w:rPr>
                <w:rFonts w:cstheme="minorHAnsi"/>
              </w:rPr>
            </w:pPr>
            <w:r w:rsidRPr="00CD3092">
              <w:rPr>
                <w:rFonts w:cstheme="minorHAnsi"/>
              </w:rPr>
              <w:t>The room will be divided into different areas of interest, by table, to offer the opportunity for more focused and structured networking. Delegates are encouraged to move around the room and engage with colleagues, volunteers and BACP staff to network, share ideas and meet new people with similar interests. If your area of interest is not represented, there will be the opportunity to add a new table.</w:t>
            </w:r>
          </w:p>
        </w:tc>
      </w:tr>
    </w:tbl>
    <w:p w14:paraId="3DBA3C97" w14:textId="77777777" w:rsidR="004466AF" w:rsidRPr="00250329" w:rsidRDefault="004466AF" w:rsidP="004466AF">
      <w:pPr>
        <w:rPr>
          <w:sz w:val="10"/>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78F4E734" w14:textId="77777777" w:rsidTr="00F24F62">
        <w:trPr>
          <w:trHeight w:val="315"/>
        </w:trPr>
        <w:tc>
          <w:tcPr>
            <w:tcW w:w="2127" w:type="dxa"/>
            <w:tcBorders>
              <w:top w:val="single" w:sz="4" w:space="0" w:color="auto"/>
              <w:bottom w:val="single" w:sz="4" w:space="0" w:color="auto"/>
            </w:tcBorders>
            <w:shd w:val="clear" w:color="auto" w:fill="31006F"/>
          </w:tcPr>
          <w:p w14:paraId="2CB33E14" w14:textId="43F44623" w:rsidR="004466AF" w:rsidRPr="00250329" w:rsidRDefault="00232B28" w:rsidP="00425186">
            <w:pPr>
              <w:rPr>
                <w:rFonts w:cs="Calibri"/>
                <w:b/>
                <w:color w:val="FFFFFF"/>
              </w:rPr>
            </w:pPr>
            <w:r>
              <w:rPr>
                <w:rFonts w:cs="Calibri"/>
                <w:b/>
                <w:color w:val="FFFFFF"/>
              </w:rPr>
              <w:t>14</w:t>
            </w:r>
            <w:r w:rsidR="0086147E">
              <w:rPr>
                <w:rFonts w:cs="Calibri"/>
                <w:b/>
                <w:color w:val="FFFFFF"/>
              </w:rPr>
              <w:t>:30 – 14:45</w:t>
            </w:r>
          </w:p>
        </w:tc>
        <w:tc>
          <w:tcPr>
            <w:tcW w:w="7796" w:type="dxa"/>
            <w:tcBorders>
              <w:top w:val="single" w:sz="4" w:space="0" w:color="auto"/>
              <w:bottom w:val="single" w:sz="4" w:space="0" w:color="auto"/>
            </w:tcBorders>
            <w:shd w:val="clear" w:color="auto" w:fill="31006F"/>
          </w:tcPr>
          <w:p w14:paraId="73615B35" w14:textId="77777777" w:rsidR="004466AF" w:rsidRPr="00250329" w:rsidRDefault="004466AF" w:rsidP="00425186">
            <w:pPr>
              <w:rPr>
                <w:rFonts w:cs="Calibri"/>
                <w:b/>
                <w:color w:val="FFFFFF"/>
              </w:rPr>
            </w:pPr>
            <w:r w:rsidRPr="00250329">
              <w:rPr>
                <w:rFonts w:cs="Calibri"/>
                <w:b/>
                <w:color w:val="FFFFFF"/>
              </w:rPr>
              <w:t>Refreshments will be available during this time</w:t>
            </w:r>
          </w:p>
        </w:tc>
      </w:tr>
    </w:tbl>
    <w:p w14:paraId="6656A5E8" w14:textId="77777777" w:rsidR="004466AF" w:rsidRPr="00250329" w:rsidRDefault="004466AF" w:rsidP="004466AF">
      <w:pPr>
        <w:rPr>
          <w:sz w:val="10"/>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3F5638B5" w14:textId="77777777" w:rsidTr="006C09C0">
        <w:trPr>
          <w:trHeight w:val="1265"/>
        </w:trPr>
        <w:tc>
          <w:tcPr>
            <w:tcW w:w="2127" w:type="dxa"/>
            <w:tcBorders>
              <w:top w:val="single" w:sz="4" w:space="0" w:color="auto"/>
              <w:bottom w:val="single" w:sz="4" w:space="0" w:color="auto"/>
            </w:tcBorders>
          </w:tcPr>
          <w:p w14:paraId="35E3BBE5" w14:textId="6F5E1A82" w:rsidR="004466AF" w:rsidRPr="00250329" w:rsidRDefault="006C09C0" w:rsidP="00425186">
            <w:pPr>
              <w:spacing w:line="360" w:lineRule="auto"/>
              <w:rPr>
                <w:rFonts w:cs="Calibri"/>
                <w:b/>
              </w:rPr>
            </w:pPr>
            <w:r>
              <w:rPr>
                <w:rFonts w:cs="Calibri"/>
                <w:b/>
              </w:rPr>
              <w:t>14:45</w:t>
            </w:r>
            <w:r w:rsidR="004466AF" w:rsidRPr="00250329">
              <w:rPr>
                <w:rFonts w:cs="Calibri"/>
                <w:b/>
              </w:rPr>
              <w:t xml:space="preserve"> – 1</w:t>
            </w:r>
            <w:r>
              <w:rPr>
                <w:rFonts w:cs="Calibri"/>
                <w:b/>
              </w:rPr>
              <w:t>5</w:t>
            </w:r>
            <w:r w:rsidR="004466AF" w:rsidRPr="00250329">
              <w:rPr>
                <w:rFonts w:cs="Calibri"/>
                <w:b/>
              </w:rPr>
              <w:t>:</w:t>
            </w:r>
            <w:r>
              <w:rPr>
                <w:rFonts w:cs="Calibri"/>
                <w:b/>
              </w:rPr>
              <w:t>45</w:t>
            </w:r>
          </w:p>
        </w:tc>
        <w:tc>
          <w:tcPr>
            <w:tcW w:w="7796" w:type="dxa"/>
            <w:tcBorders>
              <w:top w:val="single" w:sz="4" w:space="0" w:color="auto"/>
              <w:bottom w:val="single" w:sz="4" w:space="0" w:color="auto"/>
            </w:tcBorders>
          </w:tcPr>
          <w:p w14:paraId="5ED8D6FF" w14:textId="72CCDE16" w:rsidR="009E3FD7" w:rsidRDefault="008063A0" w:rsidP="009E3FD7">
            <w:pPr>
              <w:spacing w:line="276" w:lineRule="auto"/>
              <w:rPr>
                <w:rFonts w:eastAsia="Calibri"/>
                <w:b/>
              </w:rPr>
            </w:pPr>
            <w:r>
              <w:rPr>
                <w:rFonts w:eastAsia="Calibri"/>
                <w:b/>
              </w:rPr>
              <w:t xml:space="preserve">Pauline Andrew </w:t>
            </w:r>
            <w:r w:rsidR="00CF67E8">
              <w:rPr>
                <w:rFonts w:eastAsia="Calibri"/>
                <w:b/>
              </w:rPr>
              <w:t>–</w:t>
            </w:r>
            <w:r>
              <w:rPr>
                <w:rFonts w:eastAsia="Calibri"/>
                <w:b/>
              </w:rPr>
              <w:t xml:space="preserve"> </w:t>
            </w:r>
            <w:r w:rsidR="00CF67E8">
              <w:rPr>
                <w:rFonts w:eastAsia="Calibri"/>
                <w:b/>
              </w:rPr>
              <w:t>Integrating a</w:t>
            </w:r>
            <w:r>
              <w:rPr>
                <w:rFonts w:eastAsia="Calibri"/>
                <w:b/>
              </w:rPr>
              <w:t>rtwork</w:t>
            </w:r>
            <w:r w:rsidR="00CF67E8">
              <w:rPr>
                <w:rFonts w:eastAsia="Calibri"/>
                <w:b/>
              </w:rPr>
              <w:t xml:space="preserve"> in counselling</w:t>
            </w:r>
          </w:p>
          <w:p w14:paraId="6F5A6D9F" w14:textId="77777777" w:rsidR="00CF67E8" w:rsidRPr="009E755F" w:rsidRDefault="00CF67E8" w:rsidP="00CF67E8">
            <w:pPr>
              <w:spacing w:after="120" w:line="252" w:lineRule="auto"/>
              <w:rPr>
                <w:rFonts w:ascii="Trebuchet MS" w:eastAsia="Calibri" w:hAnsi="Trebuchet MS" w:cs="Times New Roman"/>
                <w:lang w:val="en-US"/>
              </w:rPr>
            </w:pPr>
            <w:r w:rsidRPr="009E755F">
              <w:rPr>
                <w:rFonts w:ascii="Trebuchet MS" w:eastAsia="Calibri" w:hAnsi="Trebuchet MS" w:cs="Times New Roman"/>
                <w:lang w:val="en-US"/>
              </w:rPr>
              <w:t>A lively, illustrated talk on the power of using pictures, artwork and fairy tales to access unconscious material.</w:t>
            </w:r>
          </w:p>
          <w:p w14:paraId="7B2C7162" w14:textId="77777777" w:rsidR="00CF67E8" w:rsidRPr="009E755F" w:rsidRDefault="00CF67E8" w:rsidP="00CF67E8">
            <w:pPr>
              <w:spacing w:after="120" w:line="252" w:lineRule="auto"/>
              <w:rPr>
                <w:rFonts w:ascii="Trebuchet MS" w:eastAsia="Calibri" w:hAnsi="Trebuchet MS" w:cs="Times New Roman"/>
                <w:lang w:val="en-US"/>
              </w:rPr>
            </w:pPr>
            <w:r w:rsidRPr="009E755F">
              <w:rPr>
                <w:rFonts w:ascii="Trebuchet MS" w:eastAsia="Calibri" w:hAnsi="Trebuchet MS" w:cs="Times New Roman"/>
                <w:lang w:val="en-US"/>
              </w:rPr>
              <w:t xml:space="preserve">Drawing on Gestalt principles, artwork can address unfinished business and help clients explore aspects of the self in a powerful and dynamic way.  </w:t>
            </w:r>
            <w:r w:rsidRPr="009E755F">
              <w:rPr>
                <w:rFonts w:ascii="Trebuchet MS" w:eastAsia="Calibri" w:hAnsi="Trebuchet MS" w:cs="Times New Roman"/>
                <w:i/>
                <w:lang w:val="en-US"/>
              </w:rPr>
              <w:t xml:space="preserve">“What are you seeing?” </w:t>
            </w:r>
            <w:r w:rsidRPr="009E755F">
              <w:rPr>
                <w:rFonts w:ascii="Trebuchet MS" w:eastAsia="Calibri" w:hAnsi="Trebuchet MS" w:cs="Times New Roman"/>
                <w:lang w:val="en-US"/>
              </w:rPr>
              <w:t xml:space="preserve">is often a more helpful question than </w:t>
            </w:r>
            <w:r w:rsidRPr="009E755F">
              <w:rPr>
                <w:rFonts w:ascii="Trebuchet MS" w:eastAsia="Calibri" w:hAnsi="Trebuchet MS" w:cs="Times New Roman"/>
                <w:i/>
                <w:lang w:val="en-US"/>
              </w:rPr>
              <w:t xml:space="preserve">“What are you feeling?” </w:t>
            </w:r>
            <w:r w:rsidRPr="009E755F">
              <w:rPr>
                <w:rFonts w:ascii="Trebuchet MS" w:eastAsia="Calibri" w:hAnsi="Trebuchet MS" w:cs="Times New Roman"/>
                <w:lang w:val="en-US"/>
              </w:rPr>
              <w:t>and</w:t>
            </w:r>
            <w:r w:rsidRPr="009E755F">
              <w:rPr>
                <w:rFonts w:ascii="Trebuchet MS" w:eastAsia="Calibri" w:hAnsi="Trebuchet MS" w:cs="Times New Roman"/>
                <w:i/>
                <w:lang w:val="en-US"/>
              </w:rPr>
              <w:t xml:space="preserve"> </w:t>
            </w:r>
            <w:r w:rsidRPr="009E755F">
              <w:rPr>
                <w:rFonts w:ascii="Trebuchet MS" w:eastAsia="Calibri" w:hAnsi="Trebuchet MS" w:cs="Times New Roman"/>
                <w:lang w:val="en-US"/>
              </w:rPr>
              <w:t xml:space="preserve">Pauline will show how to encourage the client to discover their own powerful symbolism.  The talk will include casework examples and she will describe her own journey in working creatively.  Includes what to do with resistant/fearful clients, ethical considerations and the impact on the counsellor/client relationship. </w:t>
            </w:r>
          </w:p>
          <w:p w14:paraId="4A021F99" w14:textId="77777777" w:rsidR="00CF67E8" w:rsidRPr="009E755F" w:rsidRDefault="00CF67E8" w:rsidP="00CF67E8">
            <w:pPr>
              <w:widowControl w:val="0"/>
              <w:rPr>
                <w:rFonts w:ascii="Trebuchet MS" w:eastAsia="Calibri" w:hAnsi="Trebuchet MS" w:cs="Times New Roman"/>
              </w:rPr>
            </w:pPr>
            <w:r w:rsidRPr="009E755F">
              <w:rPr>
                <w:rFonts w:cstheme="minorHAnsi"/>
              </w:rPr>
              <w:t>Pauline Andrew is Director of Deep Release and Managing Director of Barnabas Counselling Training.  She trains counsellors and supervisors up to Diploma level.  She has a BA (Hons) in Modern Languages, a Masters in Counselling and Psychotherapy, and a Diploma in Supervision.  Her lively, interactive, vividly illustrated and often humorous training style has proved popular around the UK and in Europe on a wide range of topics relating to counselling.  Pauline also teaches the L5 Certificate course in Integrating Creative Interventions in Counselling.  She has a counselling and supervision practice in Essex.  She is married to Chris and they share three grown up children and five grandchildren.</w:t>
            </w:r>
          </w:p>
          <w:p w14:paraId="3870E1B6" w14:textId="77777777" w:rsidR="00CF67E8" w:rsidRDefault="00CF67E8" w:rsidP="009E3FD7">
            <w:pPr>
              <w:spacing w:line="276" w:lineRule="auto"/>
              <w:rPr>
                <w:rFonts w:eastAsia="Calibri"/>
                <w:b/>
                <w:bCs/>
              </w:rPr>
            </w:pPr>
          </w:p>
          <w:p w14:paraId="33CC7E66" w14:textId="60033713" w:rsidR="004466AF" w:rsidRPr="009E3FD7" w:rsidRDefault="004466AF" w:rsidP="009E3FD7">
            <w:pPr>
              <w:spacing w:line="276" w:lineRule="auto"/>
              <w:rPr>
                <w:rFonts w:eastAsia="Calibri"/>
                <w:b/>
                <w:bCs/>
              </w:rPr>
            </w:pPr>
          </w:p>
        </w:tc>
      </w:tr>
      <w:tr w:rsidR="004466AF" w:rsidRPr="00250329" w14:paraId="5451AB70" w14:textId="77777777" w:rsidTr="00425186">
        <w:trPr>
          <w:trHeight w:val="130"/>
        </w:trPr>
        <w:tc>
          <w:tcPr>
            <w:tcW w:w="9923" w:type="dxa"/>
            <w:gridSpan w:val="2"/>
            <w:tcBorders>
              <w:left w:val="nil"/>
              <w:right w:val="nil"/>
            </w:tcBorders>
            <w:shd w:val="clear" w:color="auto" w:fill="auto"/>
          </w:tcPr>
          <w:p w14:paraId="7D878DA3" w14:textId="77777777" w:rsidR="004466AF" w:rsidRPr="00250329" w:rsidRDefault="004466AF" w:rsidP="00425186">
            <w:pPr>
              <w:rPr>
                <w:rFonts w:cs="Calibri"/>
                <w:b/>
                <w:color w:val="FFFFFF"/>
                <w:sz w:val="8"/>
                <w:szCs w:val="8"/>
              </w:rPr>
            </w:pPr>
          </w:p>
        </w:tc>
      </w:tr>
      <w:tr w:rsidR="004466AF" w:rsidRPr="00250329" w14:paraId="2D7FE50F" w14:textId="77777777" w:rsidTr="00F24F62">
        <w:trPr>
          <w:trHeight w:val="295"/>
        </w:trPr>
        <w:tc>
          <w:tcPr>
            <w:tcW w:w="2127" w:type="dxa"/>
            <w:shd w:val="clear" w:color="auto" w:fill="31006F"/>
          </w:tcPr>
          <w:p w14:paraId="5C2AC007" w14:textId="549F3F43" w:rsidR="004466AF" w:rsidRPr="00250329" w:rsidRDefault="006C09C0" w:rsidP="00425186">
            <w:pPr>
              <w:rPr>
                <w:rFonts w:cs="Calibri"/>
                <w:b/>
                <w:color w:val="FFFFFF"/>
              </w:rPr>
            </w:pPr>
            <w:r>
              <w:rPr>
                <w:rFonts w:cs="Calibri"/>
                <w:b/>
                <w:color w:val="FFFFFF"/>
              </w:rPr>
              <w:t>15</w:t>
            </w:r>
            <w:r w:rsidR="004466AF" w:rsidRPr="00250329">
              <w:rPr>
                <w:rFonts w:cs="Calibri"/>
                <w:b/>
                <w:color w:val="FFFFFF"/>
              </w:rPr>
              <w:t>:</w:t>
            </w:r>
            <w:r>
              <w:rPr>
                <w:rFonts w:cs="Calibri"/>
                <w:b/>
                <w:color w:val="FFFFFF"/>
              </w:rPr>
              <w:t>45 – 16.00</w:t>
            </w:r>
          </w:p>
        </w:tc>
        <w:tc>
          <w:tcPr>
            <w:tcW w:w="7796" w:type="dxa"/>
            <w:shd w:val="clear" w:color="auto" w:fill="31006F"/>
          </w:tcPr>
          <w:p w14:paraId="6F15AC4C" w14:textId="77777777" w:rsidR="004466AF" w:rsidRPr="00250329" w:rsidRDefault="004466AF" w:rsidP="00425186">
            <w:pPr>
              <w:rPr>
                <w:rFonts w:cs="Calibri"/>
                <w:b/>
                <w:color w:val="FFFFFF"/>
              </w:rPr>
            </w:pPr>
            <w:r w:rsidRPr="00250329">
              <w:rPr>
                <w:rFonts w:cs="Calibri"/>
                <w:b/>
                <w:color w:val="FFFFFF"/>
              </w:rPr>
              <w:t>Event close</w:t>
            </w:r>
          </w:p>
        </w:tc>
      </w:tr>
    </w:tbl>
    <w:p w14:paraId="60FE5880" w14:textId="29476C9E" w:rsidR="00E552DD" w:rsidRDefault="00E552DD" w:rsidP="00E552DD">
      <w:pPr>
        <w:rPr>
          <w:rFonts w:ascii="Trebuchet MS" w:hAnsi="Trebuchet MS" w:cs="Calibri"/>
        </w:rPr>
      </w:pPr>
      <w:bookmarkStart w:id="0" w:name="_GoBack"/>
      <w:bookmarkEnd w:id="0"/>
    </w:p>
    <w:sectPr w:rsidR="00E552DD" w:rsidSect="00E552DD">
      <w:footerReference w:type="default" r:id="rId10"/>
      <w:headerReference w:type="first" r:id="rId11"/>
      <w:footerReference w:type="first" r:id="rId12"/>
      <w:pgSz w:w="11906" w:h="16838" w:code="9"/>
      <w:pgMar w:top="1134" w:right="1134" w:bottom="1985" w:left="1134"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8AB8" w14:textId="77777777" w:rsidR="000347B4" w:rsidRDefault="000347B4" w:rsidP="00F21852">
      <w:r>
        <w:separator/>
      </w:r>
    </w:p>
  </w:endnote>
  <w:endnote w:type="continuationSeparator" w:id="0">
    <w:p w14:paraId="7C048AB9" w14:textId="77777777" w:rsidR="000347B4" w:rsidRDefault="000347B4" w:rsidP="00F2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Math"/>
    <w:charset w:val="00"/>
    <w:family w:val="roman"/>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8ABA" w14:textId="51F0DED1" w:rsidR="00BA4B8C" w:rsidRPr="009319FA" w:rsidRDefault="009319FA">
    <w:pPr>
      <w:pStyle w:val="Footer"/>
      <w:rPr>
        <w:rFonts w:asciiTheme="minorHAnsi" w:hAnsiTheme="minorHAnsi"/>
        <w:sz w:val="34"/>
      </w:rPr>
    </w:pPr>
    <w:r>
      <w:rPr>
        <w:noProof/>
        <w:lang w:eastAsia="en-GB"/>
      </w:rPr>
      <w:drawing>
        <wp:anchor distT="0" distB="0" distL="114300" distR="114300" simplePos="0" relativeHeight="251661312" behindDoc="1" locked="1" layoutInCell="1" allowOverlap="1" wp14:anchorId="7C048ABD" wp14:editId="7C048ABE">
          <wp:simplePos x="1509823" y="8708065"/>
          <wp:positionH relativeFrom="page">
            <wp:align>right</wp:align>
          </wp:positionH>
          <wp:positionV relativeFrom="page">
            <wp:align>bottom</wp:align>
          </wp:positionV>
          <wp:extent cx="6364800" cy="123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7C048ABF" wp14:editId="7C048AC0">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7C048AC7"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7C048AC8"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048ABF" id="_x0000_t202" coordsize="21600,21600" o:spt="202" path="m,l,21600r21600,l21600,xe">
              <v:stroke joinstyle="miter"/>
              <v:path gradientshapeok="t" o:connecttype="rect"/>
            </v:shapetype>
            <v:shape id="Text Box 2" o:spid="_x0000_s1026" type="#_x0000_t202" style="position:absolute;margin-left:0;margin-top:764.05pt;width:595.3pt;height:39.7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7C048AC7"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7C048AC8" w14:textId="77777777" w:rsidR="009319FA" w:rsidRDefault="009319FA" w:rsidP="009319FA">
                    <w:pPr>
                      <w:pStyle w:val="Footer"/>
                    </w:pPr>
                    <w:r w:rsidRPr="00BA4B8C">
                      <w:t>www.bacp.co.uk</w:t>
                    </w:r>
                  </w:p>
                </w:txbxContent>
              </v:textbox>
              <w10:wrap anchorx="page" anchory="page"/>
              <w10:anchorlock/>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8ABC" w14:textId="2C6FA3EF" w:rsidR="00893232" w:rsidRPr="009319FA" w:rsidRDefault="00893232" w:rsidP="00F21852">
    <w:pPr>
      <w:pStyle w:val="Footer"/>
      <w:rPr>
        <w:rStyle w:val="PageNumber"/>
      </w:rPr>
    </w:pPr>
    <w:r>
      <w:rPr>
        <w:noProof/>
        <w:lang w:eastAsia="en-GB"/>
      </w:rPr>
      <w:drawing>
        <wp:anchor distT="0" distB="0" distL="114300" distR="114300" simplePos="0" relativeHeight="251658239" behindDoc="1" locked="1" layoutInCell="1" allowOverlap="1" wp14:anchorId="7C048AC3" wp14:editId="7C048AC4">
          <wp:simplePos x="1509823" y="8708065"/>
          <wp:positionH relativeFrom="page">
            <wp:align>right</wp:align>
          </wp:positionH>
          <wp:positionV relativeFrom="page">
            <wp:align>bottom</wp:align>
          </wp:positionV>
          <wp:extent cx="6364800" cy="123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1" layoutInCell="1" allowOverlap="1" wp14:anchorId="7C048AC5" wp14:editId="7C048AC6">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7C048AC9"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7C048ACA"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048AC5" id="_x0000_t202" coordsize="21600,21600" o:spt="202" path="m,l,21600r21600,l21600,xe">
              <v:stroke joinstyle="miter"/>
              <v:path gradientshapeok="t" o:connecttype="rect"/>
            </v:shapetype>
            <v:shape id="_x0000_s1027" type="#_x0000_t202" style="position:absolute;margin-left:0;margin-top:764.05pt;width:595.3pt;height:39.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7C048AC9"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7C048ACA" w14:textId="77777777" w:rsidR="00893232" w:rsidRDefault="00893232" w:rsidP="00BA4B8C">
                    <w:pPr>
                      <w:pStyle w:val="Footer"/>
                    </w:pPr>
                    <w:r w:rsidRPr="00BA4B8C">
                      <w:t>www.bacp.co.uk</w:t>
                    </w:r>
                  </w:p>
                </w:txbxContent>
              </v:textbox>
              <w10:wrap anchorx="page" anchory="page"/>
              <w10:anchorlock/>
            </v:shape>
          </w:pict>
        </mc:Fallback>
      </mc:AlternateContent>
    </w:r>
    <w:r w:rsidR="00BA4B8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48AB6" w14:textId="77777777" w:rsidR="000347B4" w:rsidRDefault="000347B4" w:rsidP="00F21852">
      <w:r>
        <w:separator/>
      </w:r>
    </w:p>
  </w:footnote>
  <w:footnote w:type="continuationSeparator" w:id="0">
    <w:p w14:paraId="7C048AB7" w14:textId="77777777" w:rsidR="000347B4" w:rsidRDefault="000347B4" w:rsidP="00F2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8ABB" w14:textId="77777777" w:rsidR="00116D37" w:rsidRDefault="00893232" w:rsidP="0069590E">
    <w:pPr>
      <w:pStyle w:val="Header"/>
      <w:jc w:val="right"/>
    </w:pPr>
    <w:r>
      <w:rPr>
        <w:noProof/>
        <w:lang w:eastAsia="en-GB"/>
      </w:rPr>
      <w:drawing>
        <wp:anchor distT="0" distB="0" distL="114300" distR="114300" simplePos="0" relativeHeight="251657214" behindDoc="1" locked="0" layoutInCell="1" allowOverlap="1" wp14:anchorId="6E259B36" wp14:editId="2082E722">
          <wp:simplePos x="0" y="0"/>
          <wp:positionH relativeFrom="column">
            <wp:posOffset>3947160</wp:posOffset>
          </wp:positionH>
          <wp:positionV relativeFrom="paragraph">
            <wp:posOffset>1905</wp:posOffset>
          </wp:positionV>
          <wp:extent cx="2169160" cy="1080135"/>
          <wp:effectExtent l="0" t="0" r="2540" b="5715"/>
          <wp:wrapTight wrapText="bothSides">
            <wp:wrapPolygon edited="0">
              <wp:start x="0" y="0"/>
              <wp:lineTo x="0" y="21333"/>
              <wp:lineTo x="21436" y="21333"/>
              <wp:lineTo x="214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160"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80FD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B431843"/>
    <w:multiLevelType w:val="hybridMultilevel"/>
    <w:tmpl w:val="05BC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62B2A"/>
    <w:multiLevelType w:val="hybridMultilevel"/>
    <w:tmpl w:val="5BBA5BBA"/>
    <w:lvl w:ilvl="0" w:tplc="5532D33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595192"/>
    <w:multiLevelType w:val="hybridMultilevel"/>
    <w:tmpl w:val="4992B7BC"/>
    <w:lvl w:ilvl="0" w:tplc="4F98D3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0253A93"/>
    <w:multiLevelType w:val="multilevel"/>
    <w:tmpl w:val="CFCC7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C6C23"/>
    <w:multiLevelType w:val="hybridMultilevel"/>
    <w:tmpl w:val="78DE7C7C"/>
    <w:lvl w:ilvl="0" w:tplc="FE1C3D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5"/>
  </w:num>
  <w:num w:numId="8">
    <w:abstractNumId w:val="1"/>
  </w:num>
  <w:num w:numId="9">
    <w:abstractNumId w:val="2"/>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7"/>
    <w:rsid w:val="000044D4"/>
    <w:rsid w:val="000347B4"/>
    <w:rsid w:val="00046055"/>
    <w:rsid w:val="00116D37"/>
    <w:rsid w:val="00163A9C"/>
    <w:rsid w:val="001B1D24"/>
    <w:rsid w:val="001B7796"/>
    <w:rsid w:val="001D5D78"/>
    <w:rsid w:val="00232B28"/>
    <w:rsid w:val="00267BC0"/>
    <w:rsid w:val="00272ABD"/>
    <w:rsid w:val="00300392"/>
    <w:rsid w:val="00322573"/>
    <w:rsid w:val="00336D46"/>
    <w:rsid w:val="003C07EF"/>
    <w:rsid w:val="004466AF"/>
    <w:rsid w:val="00450034"/>
    <w:rsid w:val="0045079D"/>
    <w:rsid w:val="004F634C"/>
    <w:rsid w:val="00585F62"/>
    <w:rsid w:val="0069590E"/>
    <w:rsid w:val="006C09C0"/>
    <w:rsid w:val="007E3BDE"/>
    <w:rsid w:val="008063A0"/>
    <w:rsid w:val="008248D4"/>
    <w:rsid w:val="0086147E"/>
    <w:rsid w:val="008713A8"/>
    <w:rsid w:val="00893232"/>
    <w:rsid w:val="009216F7"/>
    <w:rsid w:val="00922C90"/>
    <w:rsid w:val="009319FA"/>
    <w:rsid w:val="00962F74"/>
    <w:rsid w:val="00982A90"/>
    <w:rsid w:val="009E3FD7"/>
    <w:rsid w:val="009E755F"/>
    <w:rsid w:val="00A32906"/>
    <w:rsid w:val="00A56B95"/>
    <w:rsid w:val="00A97777"/>
    <w:rsid w:val="00AA35AD"/>
    <w:rsid w:val="00B007BE"/>
    <w:rsid w:val="00B049B5"/>
    <w:rsid w:val="00B55549"/>
    <w:rsid w:val="00BA4B8C"/>
    <w:rsid w:val="00BD08C2"/>
    <w:rsid w:val="00CD3092"/>
    <w:rsid w:val="00CF67E8"/>
    <w:rsid w:val="00CF7090"/>
    <w:rsid w:val="00D72EBF"/>
    <w:rsid w:val="00D80C01"/>
    <w:rsid w:val="00DD42D6"/>
    <w:rsid w:val="00E13D29"/>
    <w:rsid w:val="00E552DD"/>
    <w:rsid w:val="00E91C1B"/>
    <w:rsid w:val="00E9643E"/>
    <w:rsid w:val="00EA7775"/>
    <w:rsid w:val="00F04032"/>
    <w:rsid w:val="00F16599"/>
    <w:rsid w:val="00F21852"/>
    <w:rsid w:val="00F24F62"/>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048A97"/>
  <w15:docId w15:val="{F513E55F-4B62-4C3A-84DA-CDBD3F93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9FA"/>
    <w:pPr>
      <w:spacing w:after="0" w:line="240" w:lineRule="auto"/>
    </w:pPr>
  </w:style>
  <w:style w:type="paragraph" w:styleId="Heading1">
    <w:name w:val="heading 1"/>
    <w:basedOn w:val="Normal"/>
    <w:next w:val="BodyText"/>
    <w:link w:val="Heading1Char"/>
    <w:qFormat/>
    <w:rsid w:val="00450034"/>
    <w:pPr>
      <w:keepNext/>
      <w:keepLines/>
      <w:spacing w:after="80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300392"/>
    <w:pPr>
      <w:keepNext/>
      <w:keepLines/>
      <w:spacing w:before="320" w:after="120"/>
      <w:outlineLvl w:val="1"/>
    </w:pPr>
    <w:rPr>
      <w:rFonts w:asciiTheme="majorHAnsi" w:eastAsiaTheme="majorEastAsia" w:hAnsiTheme="majorHAnsi" w:cstheme="majorBidi"/>
      <w:b/>
      <w:bCs/>
      <w:caps/>
      <w:color w:val="31006F" w:themeColor="accent2"/>
      <w:szCs w:val="26"/>
    </w:rPr>
  </w:style>
  <w:style w:type="paragraph" w:styleId="Heading6">
    <w:name w:val="heading 6"/>
    <w:basedOn w:val="Normal"/>
    <w:next w:val="Normal"/>
    <w:link w:val="Heading6Char"/>
    <w:uiPriority w:val="9"/>
    <w:semiHidden/>
    <w:unhideWhenUsed/>
    <w:qFormat/>
    <w:rsid w:val="00E552DD"/>
    <w:pPr>
      <w:keepNext/>
      <w:keepLines/>
      <w:spacing w:before="40"/>
      <w:outlineLvl w:val="5"/>
    </w:pPr>
    <w:rPr>
      <w:rFonts w:asciiTheme="majorHAnsi" w:eastAsiaTheme="majorEastAsia" w:hAnsiTheme="majorHAnsi" w:cstheme="majorBidi"/>
      <w:color w:val="7007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450034"/>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450034"/>
    <w:rPr>
      <w:rFonts w:asciiTheme="majorHAnsi" w:eastAsiaTheme="majorEastAsia" w:hAnsiTheme="majorHAnsi" w:cstheme="majorBidi"/>
      <w:b/>
      <w:bCs/>
      <w:caps/>
      <w:color w:val="31006F" w:themeColor="accent2"/>
      <w:szCs w:val="26"/>
    </w:rPr>
  </w:style>
  <w:style w:type="paragraph" w:styleId="BodyText">
    <w:name w:val="Body Text"/>
    <w:basedOn w:val="Normal"/>
    <w:link w:val="BodyTextChar"/>
    <w:rsid w:val="00E13D29"/>
    <w:pPr>
      <w:spacing w:after="120"/>
    </w:pPr>
  </w:style>
  <w:style w:type="character" w:customStyle="1" w:styleId="BodyTextChar">
    <w:name w:val="Body Text Char"/>
    <w:basedOn w:val="DefaultParagraphFont"/>
    <w:link w:val="BodyText"/>
    <w:rsid w:val="00E13D29"/>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450034"/>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267BC0"/>
    <w:pPr>
      <w:numPr>
        <w:ilvl w:val="1"/>
        <w:numId w:val="7"/>
      </w:numPr>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7E3BDE"/>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ind w:left="198" w:right="198"/>
    </w:pPr>
    <w:rPr>
      <w:color w:val="FFFFFF" w:themeColor="background1"/>
    </w:rPr>
  </w:style>
  <w:style w:type="character" w:customStyle="1" w:styleId="Heading6Char">
    <w:name w:val="Heading 6 Char"/>
    <w:basedOn w:val="DefaultParagraphFont"/>
    <w:link w:val="Heading6"/>
    <w:uiPriority w:val="9"/>
    <w:semiHidden/>
    <w:rsid w:val="00E552DD"/>
    <w:rPr>
      <w:rFonts w:asciiTheme="majorHAnsi" w:eastAsiaTheme="majorEastAsia" w:hAnsiTheme="majorHAnsi" w:cstheme="majorBidi"/>
      <w:color w:val="70072C" w:themeColor="accent1" w:themeShade="7F"/>
    </w:rPr>
  </w:style>
  <w:style w:type="paragraph" w:styleId="ListParagraph">
    <w:name w:val="List Paragraph"/>
    <w:basedOn w:val="Normal"/>
    <w:uiPriority w:val="34"/>
    <w:qFormat/>
    <w:rsid w:val="00E552DD"/>
    <w:pPr>
      <w:ind w:left="720"/>
    </w:pPr>
    <w:rPr>
      <w:rFonts w:ascii="Times New Roman" w:eastAsia="Times New Roman" w:hAnsi="Times New Roman" w:cs="Times New Roman"/>
      <w:sz w:val="20"/>
      <w:szCs w:val="20"/>
    </w:rPr>
  </w:style>
  <w:style w:type="character" w:customStyle="1" w:styleId="xbe">
    <w:name w:val="_xbe"/>
    <w:basedOn w:val="DefaultParagraphFont"/>
    <w:rsid w:val="00E552DD"/>
  </w:style>
  <w:style w:type="paragraph" w:styleId="NormalWeb">
    <w:name w:val="Normal (Web)"/>
    <w:basedOn w:val="Normal"/>
    <w:uiPriority w:val="99"/>
    <w:unhideWhenUsed/>
    <w:rsid w:val="004466AF"/>
    <w:pPr>
      <w:spacing w:before="100" w:beforeAutospacing="1" w:after="100" w:afterAutospacing="1"/>
    </w:pPr>
    <w:rPr>
      <w:rFonts w:ascii="Arial" w:eastAsia="Times New Roman" w:hAnsi="Arial" w:cs="Arial"/>
      <w:lang w:eastAsia="en-GB"/>
    </w:rPr>
  </w:style>
  <w:style w:type="paragraph" w:styleId="PlainText">
    <w:name w:val="Plain Text"/>
    <w:basedOn w:val="Normal"/>
    <w:link w:val="PlainTextChar"/>
    <w:uiPriority w:val="99"/>
    <w:unhideWhenUsed/>
    <w:rsid w:val="004466AF"/>
    <w:rPr>
      <w:rFonts w:ascii="Calibri" w:hAnsi="Calibri"/>
      <w:szCs w:val="21"/>
    </w:rPr>
  </w:style>
  <w:style w:type="character" w:customStyle="1" w:styleId="PlainTextChar">
    <w:name w:val="Plain Text Char"/>
    <w:basedOn w:val="DefaultParagraphFont"/>
    <w:link w:val="PlainText"/>
    <w:uiPriority w:val="99"/>
    <w:rsid w:val="004466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59B4C-CEAF-420F-8B07-1C3D2085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9B542-B2B3-47E9-8282-8F3705C5B7E4}">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1deb4bf9-dd94-4d43-b337-4f8e20a85e1f"/>
    <ds:schemaRef ds:uri="d9b0aefb-3c48-4576-baff-ad342a58e951"/>
    <ds:schemaRef ds:uri="http://purl.org/dc/term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7A205268-0BEB-4296-9D9A-54898E667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Gardiner</dc:creator>
  <cp:lastModifiedBy>Katy Hobday</cp:lastModifiedBy>
  <cp:revision>8</cp:revision>
  <cp:lastPrinted>2018-06-06T07:56:00Z</cp:lastPrinted>
  <dcterms:created xsi:type="dcterms:W3CDTF">2018-06-06T10:31:00Z</dcterms:created>
  <dcterms:modified xsi:type="dcterms:W3CDTF">2018-06-28T09:16:00Z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