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D5277" w14:textId="419B691E" w:rsidR="005847BB" w:rsidRPr="00005E99" w:rsidRDefault="00BD46DD">
      <w:pPr>
        <w:rPr>
          <w:rFonts w:cstheme="minorHAnsi"/>
          <w:sz w:val="24"/>
          <w:szCs w:val="24"/>
        </w:rPr>
      </w:pPr>
      <w:r w:rsidRPr="007731BA">
        <w:rPr>
          <w:rFonts w:cstheme="minorHAnsi"/>
          <w:b/>
          <w:bCs/>
          <w:sz w:val="24"/>
          <w:szCs w:val="24"/>
          <w:u w:val="single"/>
        </w:rPr>
        <w:t>Title</w:t>
      </w:r>
      <w:r w:rsidRPr="00005E99">
        <w:rPr>
          <w:rFonts w:cstheme="minorHAnsi"/>
          <w:b/>
          <w:bCs/>
          <w:sz w:val="24"/>
          <w:szCs w:val="24"/>
        </w:rPr>
        <w:t>:</w:t>
      </w:r>
      <w:r w:rsidRPr="00005E99">
        <w:rPr>
          <w:rFonts w:cstheme="minorHAnsi"/>
          <w:sz w:val="24"/>
          <w:szCs w:val="24"/>
        </w:rPr>
        <w:t xml:space="preserve"> Where Can They Go? A Scoping Review of Counselling Services for Refugees and Asylum-Seekers who Have Experienced Sexual Violence</w:t>
      </w:r>
    </w:p>
    <w:p w14:paraId="27F21533" w14:textId="0D2412C8" w:rsidR="00BD46DD" w:rsidRPr="00005E99" w:rsidRDefault="00BD46DD">
      <w:pPr>
        <w:rPr>
          <w:rFonts w:cstheme="minorHAnsi"/>
          <w:sz w:val="24"/>
          <w:szCs w:val="24"/>
        </w:rPr>
      </w:pPr>
    </w:p>
    <w:p w14:paraId="207B253B" w14:textId="7432249D" w:rsidR="00BD46DD" w:rsidRPr="00005E99" w:rsidRDefault="00BD46DD" w:rsidP="00BD46DD">
      <w:pPr>
        <w:rPr>
          <w:rFonts w:cstheme="minorHAnsi"/>
          <w:sz w:val="24"/>
          <w:szCs w:val="24"/>
        </w:rPr>
      </w:pPr>
      <w:r w:rsidRPr="007731BA">
        <w:rPr>
          <w:rFonts w:cstheme="minorHAnsi"/>
          <w:b/>
          <w:bCs/>
          <w:sz w:val="24"/>
          <w:szCs w:val="24"/>
          <w:u w:val="single"/>
        </w:rPr>
        <w:t>Author</w:t>
      </w:r>
      <w:r w:rsidRPr="00005E99">
        <w:rPr>
          <w:rFonts w:cstheme="minorHAnsi"/>
          <w:b/>
          <w:bCs/>
          <w:sz w:val="24"/>
          <w:szCs w:val="24"/>
        </w:rPr>
        <w:t>:</w:t>
      </w:r>
      <w:r w:rsidRPr="00005E99">
        <w:rPr>
          <w:rFonts w:cstheme="minorHAnsi"/>
          <w:sz w:val="24"/>
          <w:szCs w:val="24"/>
        </w:rPr>
        <w:t xml:space="preserve"> Tracey Leung, MA Trauma Studies</w:t>
      </w:r>
    </w:p>
    <w:p w14:paraId="382EB4A6" w14:textId="72D51945" w:rsidR="00BD46DD" w:rsidRPr="00005E99" w:rsidRDefault="00BD46DD" w:rsidP="00BD46DD">
      <w:pPr>
        <w:rPr>
          <w:rFonts w:cstheme="minorHAnsi"/>
          <w:sz w:val="24"/>
          <w:szCs w:val="24"/>
        </w:rPr>
      </w:pPr>
    </w:p>
    <w:p w14:paraId="74376B84" w14:textId="78420BD4" w:rsidR="00BD46DD" w:rsidRPr="007731BA" w:rsidRDefault="00BD46DD" w:rsidP="00BD46DD">
      <w:pPr>
        <w:rPr>
          <w:rFonts w:cstheme="minorHAnsi"/>
          <w:b/>
          <w:bCs/>
          <w:sz w:val="24"/>
          <w:szCs w:val="24"/>
          <w:u w:val="single"/>
        </w:rPr>
      </w:pPr>
      <w:r w:rsidRPr="007731BA">
        <w:rPr>
          <w:rFonts w:cstheme="minorHAnsi"/>
          <w:b/>
          <w:bCs/>
          <w:sz w:val="24"/>
          <w:szCs w:val="24"/>
          <w:u w:val="single"/>
        </w:rPr>
        <w:t>Purpose</w:t>
      </w:r>
    </w:p>
    <w:p w14:paraId="757B5C86" w14:textId="42B39C23" w:rsidR="00BD46DD" w:rsidRPr="00005E99" w:rsidRDefault="00BD46DD" w:rsidP="00BD46DD">
      <w:pPr>
        <w:spacing w:line="276" w:lineRule="auto"/>
        <w:jc w:val="both"/>
        <w:rPr>
          <w:rFonts w:eastAsia="Times New Roman" w:cstheme="minorHAnsi"/>
          <w:kern w:val="28"/>
          <w:sz w:val="24"/>
          <w:szCs w:val="24"/>
          <w14:cntxtAlts/>
        </w:rPr>
      </w:pPr>
      <w:r w:rsidRPr="00005E99">
        <w:rPr>
          <w:rFonts w:eastAsia="Times New Roman" w:cstheme="minorHAnsi"/>
          <w:kern w:val="28"/>
          <w:sz w:val="24"/>
          <w:szCs w:val="24"/>
          <w14:cntxtAlts/>
        </w:rPr>
        <w:t xml:space="preserve">Prevalence of sexual violence is high in armed conflicts and on routes to asylum-seeking. The need for counselling for refugees and asylum-seekers who experienced sexual violence should be recognised. Due to their mobilisation, information on available counselling near them would be helpful. Therefore, the purpose of the research is mapping these services in the UK. </w:t>
      </w:r>
    </w:p>
    <w:p w14:paraId="7F79C35A" w14:textId="7D484F53" w:rsidR="00BD46DD" w:rsidRPr="00005E99" w:rsidRDefault="00BD46DD" w:rsidP="00BD46DD">
      <w:pPr>
        <w:spacing w:line="276" w:lineRule="auto"/>
        <w:jc w:val="both"/>
        <w:rPr>
          <w:rFonts w:eastAsia="Times New Roman" w:cstheme="minorHAnsi"/>
          <w:kern w:val="28"/>
          <w:sz w:val="24"/>
          <w:szCs w:val="24"/>
          <w14:cntxtAlts/>
        </w:rPr>
      </w:pPr>
    </w:p>
    <w:p w14:paraId="3BD07A0C" w14:textId="7DCB4A9D" w:rsidR="00BD46DD" w:rsidRPr="007731BA" w:rsidRDefault="00BD46DD" w:rsidP="00BD46DD">
      <w:pPr>
        <w:spacing w:line="276" w:lineRule="auto"/>
        <w:jc w:val="both"/>
        <w:rPr>
          <w:rFonts w:eastAsia="Times New Roman" w:cstheme="minorHAnsi"/>
          <w:b/>
          <w:bCs/>
          <w:kern w:val="28"/>
          <w:sz w:val="24"/>
          <w:szCs w:val="24"/>
          <w:u w:val="single"/>
          <w14:cntxtAlts/>
        </w:rPr>
      </w:pPr>
      <w:r w:rsidRPr="007731BA">
        <w:rPr>
          <w:rFonts w:eastAsia="Times New Roman" w:cstheme="minorHAnsi"/>
          <w:b/>
          <w:bCs/>
          <w:kern w:val="28"/>
          <w:sz w:val="24"/>
          <w:szCs w:val="24"/>
          <w:u w:val="single"/>
          <w14:cntxtAlts/>
        </w:rPr>
        <w:t>Methodology</w:t>
      </w:r>
    </w:p>
    <w:p w14:paraId="47E7017D" w14:textId="77777777" w:rsidR="00BD46DD" w:rsidRPr="00005E99" w:rsidRDefault="00BD46DD" w:rsidP="00BD46DD">
      <w:pPr>
        <w:widowControl w:val="0"/>
        <w:spacing w:after="120"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Scoping review (an iterative process with 6 non-linear stages)</w:t>
      </w:r>
    </w:p>
    <w:p w14:paraId="3E97C5BD" w14:textId="35D63FCB" w:rsidR="00BD46DD" w:rsidRPr="00005E99" w:rsidRDefault="00BD46DD" w:rsidP="00BD46DD">
      <w:pPr>
        <w:widowControl w:val="0"/>
        <w:spacing w:after="120" w:line="276" w:lineRule="auto"/>
        <w:ind w:left="567" w:hanging="567"/>
        <w:jc w:val="both"/>
        <w:rPr>
          <w:rFonts w:eastAsia="Times New Roman" w:cstheme="minorHAnsi"/>
          <w:kern w:val="28"/>
          <w:sz w:val="24"/>
          <w:szCs w:val="24"/>
          <w14:cntxtAlts/>
        </w:rPr>
      </w:pPr>
      <w:r w:rsidRPr="00005E99">
        <w:rPr>
          <w:rFonts w:eastAsia="Times New Roman" w:cstheme="minorHAnsi"/>
          <w:kern w:val="28"/>
          <w:sz w:val="24"/>
          <w:szCs w:val="24"/>
          <w:lang w:val="x-none"/>
          <w14:ligatures w14:val="standard"/>
          <w14:cntxtAlts/>
        </w:rPr>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Identifying research questions: Overarching research question—</w:t>
      </w:r>
      <w:r w:rsidRPr="00005E99">
        <w:rPr>
          <w:rFonts w:eastAsia="Times New Roman" w:cstheme="minorHAnsi"/>
          <w:kern w:val="28"/>
          <w:sz w:val="24"/>
          <w:szCs w:val="24"/>
          <w14:cntxtAlts/>
        </w:rPr>
        <w:t xml:space="preserve">What counselling service is available in the UK for refugees and asylum-seekers who have experienced sexual violence? </w:t>
      </w:r>
      <w:r w:rsidRPr="00005E99">
        <w:rPr>
          <w:rFonts w:eastAsia="Times New Roman" w:cstheme="minorHAnsi"/>
          <w:b/>
          <w:bCs/>
          <w:kern w:val="28"/>
          <w:sz w:val="24"/>
          <w:szCs w:val="24"/>
          <w14:cntxtAlts/>
        </w:rPr>
        <w:t>Additional research questions—</w:t>
      </w:r>
      <w:r w:rsidRPr="00005E99">
        <w:rPr>
          <w:rFonts w:eastAsia="Times New Roman" w:cstheme="minorHAnsi"/>
          <w:kern w:val="28"/>
          <w:sz w:val="24"/>
          <w:szCs w:val="24"/>
          <w14:cntxtAlts/>
        </w:rPr>
        <w:t>What are the features of the services, i.e. modalities, modes, number of sessions, ‘female only’ space, language, fees, and the differences across the UK?</w:t>
      </w:r>
    </w:p>
    <w:p w14:paraId="43A7989E" w14:textId="0AEC7D19" w:rsidR="00BD46DD" w:rsidRPr="00005E99" w:rsidRDefault="00BD46DD" w:rsidP="00BD46DD">
      <w:pPr>
        <w:widowControl w:val="0"/>
        <w:spacing w:after="120" w:line="276" w:lineRule="auto"/>
        <w:ind w:left="567" w:hanging="567"/>
        <w:jc w:val="both"/>
        <w:rPr>
          <w:rFonts w:eastAsia="Times New Roman" w:cstheme="minorHAnsi"/>
          <w:b/>
          <w:bCs/>
          <w:kern w:val="28"/>
          <w:sz w:val="24"/>
          <w:szCs w:val="24"/>
          <w14:cntxtAlts/>
        </w:rPr>
      </w:pPr>
      <w:r w:rsidRPr="00005E99">
        <w:rPr>
          <w:rFonts w:eastAsia="Times New Roman" w:cstheme="minorHAnsi"/>
          <w:kern w:val="28"/>
          <w:sz w:val="24"/>
          <w:szCs w:val="24"/>
          <w:lang w:val="x-none"/>
          <w14:ligatures w14:val="standard"/>
          <w14:cntxtAlts/>
        </w:rPr>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 xml:space="preserve">Identifying relevant services: </w:t>
      </w:r>
      <w:r w:rsidRPr="00005E99">
        <w:rPr>
          <w:rFonts w:eastAsia="Times New Roman" w:cstheme="minorHAnsi"/>
          <w:kern w:val="28"/>
          <w:sz w:val="24"/>
          <w:szCs w:val="24"/>
          <w14:cntxtAlts/>
        </w:rPr>
        <w:t>Internet and electronic database searches, including keyword searches, i.e. ‘Counselling’ and ‘refugees and asylum-seekers’; and ‘counselling’ and ‘sexual violence’ in each of the 4 countries in the UK; forward searches from links in some relevant websites; and key magazine and journal searches.</w:t>
      </w:r>
    </w:p>
    <w:p w14:paraId="2692090E" w14:textId="531D1C21" w:rsidR="00BD46DD" w:rsidRPr="00005E99" w:rsidRDefault="00BD46DD" w:rsidP="00BD46DD">
      <w:pPr>
        <w:widowControl w:val="0"/>
        <w:spacing w:after="120" w:line="276" w:lineRule="auto"/>
        <w:ind w:left="567" w:hanging="567"/>
        <w:jc w:val="both"/>
        <w:rPr>
          <w:rFonts w:eastAsia="Times New Roman" w:cstheme="minorHAnsi"/>
          <w:kern w:val="28"/>
          <w:sz w:val="24"/>
          <w:szCs w:val="24"/>
          <w14:cntxtAlts/>
        </w:rPr>
      </w:pPr>
      <w:r w:rsidRPr="00005E99">
        <w:rPr>
          <w:rFonts w:eastAsia="Times New Roman" w:cstheme="minorHAnsi"/>
          <w:kern w:val="28"/>
          <w:sz w:val="24"/>
          <w:szCs w:val="24"/>
          <w:lang w:val="x-none"/>
          <w14:ligatures w14:val="standard"/>
          <w14:cntxtAlts/>
        </w:rPr>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 xml:space="preserve">Service selection: </w:t>
      </w:r>
      <w:r w:rsidRPr="00005E99">
        <w:rPr>
          <w:rFonts w:eastAsia="Times New Roman" w:cstheme="minorHAnsi"/>
          <w:kern w:val="28"/>
          <w:sz w:val="24"/>
          <w:szCs w:val="24"/>
          <w14:cntxtAlts/>
        </w:rPr>
        <w:t>Applying selection criteria to include most relevant services—only included the organisations providing counselling (or other synonyms). Private practice and organisations providing counselling to the general public were excluded as it was impractical to check all of them. Statutory services were excluded as it was assumed that they were known to organisations working with refugees and asylum-seekers already. Services mainly working with survivors of childhood sexual abuse were excluded as it was not the focus of the research.</w:t>
      </w:r>
    </w:p>
    <w:p w14:paraId="4B72336E" w14:textId="77777777" w:rsidR="00BD46DD" w:rsidRPr="00005E99" w:rsidRDefault="00BD46DD" w:rsidP="00BD46DD">
      <w:pPr>
        <w:widowControl w:val="0"/>
        <w:spacing w:after="120" w:line="276" w:lineRule="auto"/>
        <w:ind w:left="567" w:hanging="567"/>
        <w:jc w:val="both"/>
        <w:rPr>
          <w:rFonts w:eastAsia="Times New Roman" w:cstheme="minorHAnsi"/>
          <w:kern w:val="28"/>
          <w:sz w:val="24"/>
          <w:szCs w:val="24"/>
          <w14:cntxtAlts/>
        </w:rPr>
      </w:pPr>
      <w:r w:rsidRPr="00005E99">
        <w:rPr>
          <w:rFonts w:eastAsia="Times New Roman" w:cstheme="minorHAnsi"/>
          <w:kern w:val="28"/>
          <w:sz w:val="24"/>
          <w:szCs w:val="24"/>
          <w:lang w:val="x-none"/>
          <w14:ligatures w14:val="standard"/>
          <w14:cntxtAlts/>
        </w:rPr>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 xml:space="preserve">Sifting, charting and sorting data: </w:t>
      </w:r>
      <w:r w:rsidRPr="00005E99">
        <w:rPr>
          <w:rFonts w:eastAsia="Times New Roman" w:cstheme="minorHAnsi"/>
          <w:kern w:val="28"/>
          <w:sz w:val="24"/>
          <w:szCs w:val="24"/>
          <w14:cntxtAlts/>
        </w:rPr>
        <w:t xml:space="preserve">All the websites found were </w:t>
      </w:r>
      <w:proofErr w:type="gramStart"/>
      <w:r w:rsidRPr="00005E99">
        <w:rPr>
          <w:rFonts w:eastAsia="Times New Roman" w:cstheme="minorHAnsi"/>
          <w:kern w:val="28"/>
          <w:sz w:val="24"/>
          <w:szCs w:val="24"/>
          <w14:cntxtAlts/>
        </w:rPr>
        <w:t>looked into</w:t>
      </w:r>
      <w:proofErr w:type="gramEnd"/>
      <w:r w:rsidRPr="00005E99">
        <w:rPr>
          <w:rFonts w:eastAsia="Times New Roman" w:cstheme="minorHAnsi"/>
          <w:kern w:val="28"/>
          <w:sz w:val="24"/>
          <w:szCs w:val="24"/>
          <w14:cntxtAlts/>
        </w:rPr>
        <w:t xml:space="preserve"> to ensure their relevance. A framework was designed to sort and chart all the data collected. </w:t>
      </w:r>
    </w:p>
    <w:p w14:paraId="798DAF23" w14:textId="67371CB7" w:rsidR="00BD46DD" w:rsidRPr="00005E99" w:rsidRDefault="00BD46DD" w:rsidP="00BD46DD">
      <w:pPr>
        <w:widowControl w:val="0"/>
        <w:spacing w:after="120" w:line="276" w:lineRule="auto"/>
        <w:ind w:left="567" w:hanging="567"/>
        <w:jc w:val="both"/>
        <w:rPr>
          <w:rFonts w:eastAsia="Times New Roman" w:cstheme="minorHAnsi"/>
          <w:kern w:val="28"/>
          <w:sz w:val="24"/>
          <w:szCs w:val="24"/>
          <w14:cntxtAlts/>
        </w:rPr>
      </w:pPr>
      <w:r w:rsidRPr="00005E99">
        <w:rPr>
          <w:rFonts w:eastAsia="Times New Roman" w:cstheme="minorHAnsi"/>
          <w:kern w:val="28"/>
          <w:sz w:val="24"/>
          <w:szCs w:val="24"/>
          <w:lang w:val="x-none"/>
          <w14:ligatures w14:val="standard"/>
          <w14:cntxtAlts/>
        </w:rPr>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 xml:space="preserve">Collating, summarising and reporting results: </w:t>
      </w:r>
      <w:r w:rsidRPr="00005E99">
        <w:rPr>
          <w:rFonts w:eastAsia="Times New Roman" w:cstheme="minorHAnsi"/>
          <w:kern w:val="28"/>
          <w:sz w:val="24"/>
          <w:szCs w:val="24"/>
          <w14:cntxtAlts/>
        </w:rPr>
        <w:t>All the data collected was summarised, analysed and reported in the same manner. A directory of potential counselling services in the UK was produced. (The word ‘potential’ was used because some organisations did not explicitly state that they could work with refugees and asylum-seekers.)</w:t>
      </w:r>
    </w:p>
    <w:p w14:paraId="52EFAFCF" w14:textId="77777777" w:rsidR="002D0F97" w:rsidRPr="00005E99" w:rsidRDefault="00BD46DD" w:rsidP="002D0F97">
      <w:pPr>
        <w:widowControl w:val="0"/>
        <w:spacing w:after="120" w:line="276" w:lineRule="auto"/>
        <w:ind w:left="567" w:hanging="567"/>
        <w:jc w:val="both"/>
        <w:rPr>
          <w:rFonts w:eastAsia="Times New Roman" w:cstheme="minorHAnsi"/>
          <w:kern w:val="28"/>
          <w:sz w:val="24"/>
          <w:szCs w:val="24"/>
          <w14:cntxtAlts/>
        </w:rPr>
      </w:pPr>
      <w:r w:rsidRPr="00005E99">
        <w:rPr>
          <w:rFonts w:eastAsia="Times New Roman" w:cstheme="minorHAnsi"/>
          <w:kern w:val="28"/>
          <w:sz w:val="24"/>
          <w:szCs w:val="24"/>
          <w:lang w:val="x-none"/>
          <w14:ligatures w14:val="standard"/>
          <w14:cntxtAlts/>
        </w:rPr>
        <w:lastRenderedPageBreak/>
        <w:t>·</w:t>
      </w:r>
      <w:r w:rsidRPr="00005E99">
        <w:rPr>
          <w:rFonts w:eastAsia="Times New Roman" w:cstheme="minorHAnsi"/>
          <w:kern w:val="28"/>
          <w:sz w:val="24"/>
          <w:szCs w:val="24"/>
          <w14:ligatures w14:val="standard"/>
          <w14:cntxtAlts/>
        </w:rPr>
        <w:t> </w:t>
      </w:r>
      <w:r w:rsidRPr="00005E99">
        <w:rPr>
          <w:rFonts w:eastAsia="Times New Roman" w:cstheme="minorHAnsi"/>
          <w:b/>
          <w:bCs/>
          <w:kern w:val="28"/>
          <w:sz w:val="24"/>
          <w:szCs w:val="24"/>
          <w14:cntxtAlts/>
        </w:rPr>
        <w:t xml:space="preserve">Consultation exercise: </w:t>
      </w:r>
      <w:r w:rsidRPr="00005E99">
        <w:rPr>
          <w:rFonts w:eastAsia="Times New Roman" w:cstheme="minorHAnsi"/>
          <w:kern w:val="28"/>
          <w:sz w:val="24"/>
          <w:szCs w:val="24"/>
          <w14:cntxtAlts/>
        </w:rPr>
        <w:t>For the organisations which did not provide all the data on their websites, a questionnaire was designed and emailed to them and/or telephone calls were made to gather relevant information</w:t>
      </w:r>
      <w:r w:rsidR="002D0F97" w:rsidRPr="00005E99">
        <w:rPr>
          <w:rFonts w:eastAsia="Times New Roman" w:cstheme="minorHAnsi"/>
          <w:kern w:val="28"/>
          <w:sz w:val="24"/>
          <w:szCs w:val="24"/>
          <w14:cntxtAlts/>
        </w:rPr>
        <w:t>.</w:t>
      </w:r>
    </w:p>
    <w:p w14:paraId="1F032C40" w14:textId="77777777" w:rsidR="002D0F97" w:rsidRPr="00005E99" w:rsidRDefault="002D0F97" w:rsidP="002D0F97">
      <w:pPr>
        <w:widowControl w:val="0"/>
        <w:spacing w:after="120" w:line="276" w:lineRule="auto"/>
        <w:ind w:left="567" w:hanging="567"/>
        <w:jc w:val="both"/>
        <w:rPr>
          <w:rFonts w:eastAsia="Times New Roman" w:cstheme="minorHAnsi"/>
          <w:kern w:val="28"/>
          <w:sz w:val="24"/>
          <w:szCs w:val="24"/>
          <w14:cntxtAlts/>
        </w:rPr>
      </w:pPr>
    </w:p>
    <w:p w14:paraId="41B6CCDB" w14:textId="50386839" w:rsidR="002D0F97" w:rsidRPr="005B034E" w:rsidRDefault="002D0F97" w:rsidP="002D0F97">
      <w:pPr>
        <w:widowControl w:val="0"/>
        <w:spacing w:after="120" w:line="276" w:lineRule="auto"/>
        <w:ind w:left="567" w:hanging="567"/>
        <w:jc w:val="both"/>
        <w:rPr>
          <w:rFonts w:eastAsia="Times New Roman" w:cstheme="minorHAnsi"/>
          <w:b/>
          <w:bCs/>
          <w:kern w:val="28"/>
          <w:sz w:val="24"/>
          <w:szCs w:val="24"/>
          <w:u w:val="single"/>
          <w14:cntxtAlts/>
        </w:rPr>
      </w:pPr>
      <w:r w:rsidRPr="005B034E">
        <w:rPr>
          <w:rFonts w:eastAsia="Times New Roman" w:cstheme="minorHAnsi"/>
          <w:b/>
          <w:bCs/>
          <w:kern w:val="28"/>
          <w:sz w:val="24"/>
          <w:szCs w:val="24"/>
          <w:u w:val="single"/>
          <w14:cntxtAlts/>
        </w:rPr>
        <w:t>Findings</w:t>
      </w:r>
    </w:p>
    <w:p w14:paraId="1CDDCC92" w14:textId="77777777" w:rsidR="002D0F97" w:rsidRPr="00005E99" w:rsidRDefault="002D0F97" w:rsidP="002D0F97">
      <w:pPr>
        <w:tabs>
          <w:tab w:val="left" w:pos="7380"/>
        </w:tabs>
        <w:spacing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xml:space="preserve">162 potential services were identified: </w:t>
      </w:r>
    </w:p>
    <w:p w14:paraId="3840F46B" w14:textId="263D3986" w:rsidR="002D0F97" w:rsidRPr="00005E99" w:rsidRDefault="002D0F97" w:rsidP="002D0F97">
      <w:pPr>
        <w:tabs>
          <w:tab w:val="left" w:pos="7380"/>
        </w:tabs>
        <w:spacing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xml:space="preserve">147 in England </w:t>
      </w:r>
      <w:r w:rsidRPr="00005E99">
        <w:rPr>
          <w:rFonts w:eastAsia="Times New Roman" w:cstheme="minorHAnsi"/>
          <w:kern w:val="28"/>
          <w:sz w:val="24"/>
          <w:szCs w:val="24"/>
          <w14:cntxtAlts/>
        </w:rPr>
        <w:t xml:space="preserve">(in which 49 in London, 5 in North East, 12 in North West, 18 in Yorkshire and the Humber, 8 in East Midlands, 15 in West Midlands, 9 in East of England, 16 in South East, 15 in South West); </w:t>
      </w:r>
      <w:r w:rsidRPr="00005E99">
        <w:rPr>
          <w:rFonts w:eastAsia="Times New Roman" w:cstheme="minorHAnsi"/>
          <w:b/>
          <w:bCs/>
          <w:kern w:val="28"/>
          <w:sz w:val="24"/>
          <w:szCs w:val="24"/>
          <w14:cntxtAlts/>
        </w:rPr>
        <w:t>1 in Northern Ireland, 8 in Scotland and 6 in Wales.</w:t>
      </w:r>
    </w:p>
    <w:p w14:paraId="2EED6E96" w14:textId="77777777" w:rsidR="002D0F97" w:rsidRPr="00005E99" w:rsidRDefault="002D0F97" w:rsidP="002D0F97">
      <w:pPr>
        <w:widowControl w:val="0"/>
        <w:tabs>
          <w:tab w:val="left" w:pos="7380"/>
        </w:tabs>
        <w:spacing w:after="120"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xml:space="preserve">In proportion to the populations, London had far more services than other areas. The North West had the second least although it has the third largest BAMER communities and the largest proportion of dispersed asylum-seekers in the UK. </w:t>
      </w:r>
    </w:p>
    <w:p w14:paraId="65B82F6E" w14:textId="77777777" w:rsidR="002D0F97" w:rsidRPr="00005E99" w:rsidRDefault="002D0F97" w:rsidP="002D0F97">
      <w:pPr>
        <w:widowControl w:val="0"/>
        <w:tabs>
          <w:tab w:val="left" w:pos="7380"/>
        </w:tabs>
        <w:spacing w:after="120"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w:t>
      </w:r>
    </w:p>
    <w:p w14:paraId="66007EFA" w14:textId="77777777"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Clienteles of these 162 services: </w:t>
      </w:r>
      <w:r w:rsidRPr="00005E99">
        <w:rPr>
          <w:rFonts w:eastAsia="Times New Roman" w:cstheme="minorHAnsi"/>
          <w:kern w:val="28"/>
          <w:sz w:val="24"/>
          <w:szCs w:val="24"/>
          <w14:cntxtAlts/>
        </w:rPr>
        <w:t>Sexual violence survivors (88); BAMER (64); Trauma survivors (6) and Women (4).</w:t>
      </w:r>
    </w:p>
    <w:p w14:paraId="3C142BDD" w14:textId="77777777"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Genders of the clienteles: </w:t>
      </w:r>
      <w:r w:rsidRPr="00005E99">
        <w:rPr>
          <w:rFonts w:eastAsia="Times New Roman" w:cstheme="minorHAnsi"/>
          <w:kern w:val="28"/>
          <w:sz w:val="24"/>
          <w:szCs w:val="24"/>
          <w14:cntxtAlts/>
        </w:rPr>
        <w:t>All genders (120); Female only (37) and Male only (5)</w:t>
      </w:r>
    </w:p>
    <w:p w14:paraId="6CE39E77" w14:textId="77777777"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Age ranges of the clienteles: </w:t>
      </w:r>
      <w:r w:rsidRPr="00005E99">
        <w:rPr>
          <w:rFonts w:eastAsia="Times New Roman" w:cstheme="minorHAnsi"/>
          <w:kern w:val="28"/>
          <w:sz w:val="24"/>
          <w:szCs w:val="24"/>
          <w14:cntxtAlts/>
        </w:rPr>
        <w:t xml:space="preserve">Children and/or young people (16); Aged 10 or over (33); Aged 16 or over (11); Adults only (47); All ages (43) and </w:t>
      </w:r>
    </w:p>
    <w:p w14:paraId="73432B9F" w14:textId="77777777"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kern w:val="28"/>
          <w:sz w:val="24"/>
          <w:szCs w:val="24"/>
          <w14:cntxtAlts/>
        </w:rPr>
        <w:t>Non-specified (12).</w:t>
      </w:r>
    </w:p>
    <w:p w14:paraId="72ED5E48" w14:textId="77777777" w:rsidR="002D0F97" w:rsidRPr="00005E99" w:rsidRDefault="002D0F97" w:rsidP="002D0F97">
      <w:pPr>
        <w:widowControl w:val="0"/>
        <w:tabs>
          <w:tab w:val="left" w:pos="7380"/>
        </w:tabs>
        <w:spacing w:after="120"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w:t>
      </w:r>
    </w:p>
    <w:p w14:paraId="1746E32D" w14:textId="77777777" w:rsidR="002D0F97" w:rsidRPr="00005E99" w:rsidRDefault="002D0F97" w:rsidP="002D0F97">
      <w:pPr>
        <w:widowControl w:val="0"/>
        <w:tabs>
          <w:tab w:val="left" w:pos="7380"/>
        </w:tabs>
        <w:spacing w:after="120" w:line="276" w:lineRule="auto"/>
        <w:jc w:val="both"/>
        <w:rPr>
          <w:rFonts w:eastAsia="Times New Roman" w:cstheme="minorHAnsi"/>
          <w:b/>
          <w:bCs/>
          <w:kern w:val="28"/>
          <w:sz w:val="24"/>
          <w:szCs w:val="24"/>
          <w14:cntxtAlts/>
        </w:rPr>
      </w:pPr>
      <w:r w:rsidRPr="00005E99">
        <w:rPr>
          <w:rFonts w:eastAsia="Times New Roman" w:cstheme="minorHAnsi"/>
          <w:b/>
          <w:bCs/>
          <w:kern w:val="28"/>
          <w:sz w:val="24"/>
          <w:szCs w:val="24"/>
          <w14:cntxtAlts/>
        </w:rPr>
        <w:t xml:space="preserve">Among the 162 services, 69 provided data for all the additional research questions: </w:t>
      </w:r>
    </w:p>
    <w:p w14:paraId="4C394439" w14:textId="0FBD214E"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Counselling modalities adopted: </w:t>
      </w:r>
      <w:r w:rsidRPr="00005E99">
        <w:rPr>
          <w:rFonts w:eastAsia="Times New Roman" w:cstheme="minorHAnsi"/>
          <w:kern w:val="28"/>
          <w:sz w:val="24"/>
          <w:szCs w:val="24"/>
          <w14:cntxtAlts/>
        </w:rPr>
        <w:t>Various modalities (46); Trauma-based (7); Person-centred (6); Integrative (3); Creativity (3); Empowerment (2) and Psychodynamic (2).</w:t>
      </w:r>
    </w:p>
    <w:p w14:paraId="7A2BCD10" w14:textId="65B35532"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Modes of counselling available: </w:t>
      </w:r>
      <w:r w:rsidRPr="00005E99">
        <w:rPr>
          <w:rFonts w:eastAsia="Times New Roman" w:cstheme="minorHAnsi"/>
          <w:kern w:val="28"/>
          <w:sz w:val="24"/>
          <w:szCs w:val="24"/>
          <w14:cntxtAlts/>
        </w:rPr>
        <w:t>Individual in-person (67); At least one alternative mode (21); By phone (15); By videocalls (12); By texts/emails (4); Groupwork (24); Family therapy (3) and Couple therapy (2).</w:t>
      </w:r>
    </w:p>
    <w:p w14:paraId="6EF96906" w14:textId="24B30323"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No. of sessions: </w:t>
      </w:r>
      <w:r w:rsidRPr="00005E99">
        <w:rPr>
          <w:rFonts w:eastAsia="Times New Roman" w:cstheme="minorHAnsi"/>
          <w:kern w:val="28"/>
          <w:sz w:val="24"/>
          <w:szCs w:val="24"/>
          <w14:cntxtAlts/>
        </w:rPr>
        <w:t>Up to 12 sessions (12); Up to 24 sessions (27); 25 or above (8) and No limits (16). (Note: 4 of the 67 organisations which provided individual counselling could not be classified as they offered different number of sessions to different groups of clients.)</w:t>
      </w:r>
    </w:p>
    <w:p w14:paraId="19EC88A1" w14:textId="5257A251"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‘Female only’ space/timeslots: </w:t>
      </w:r>
      <w:r w:rsidRPr="00005E99">
        <w:rPr>
          <w:rFonts w:eastAsia="Times New Roman" w:cstheme="minorHAnsi"/>
          <w:kern w:val="28"/>
          <w:sz w:val="24"/>
          <w:szCs w:val="24"/>
          <w14:cntxtAlts/>
        </w:rPr>
        <w:t>Yes (36 in which 19 only worked with women and girls); Can accommodate if clients requested (6); No (22); Single-gendered groups (3) and Not applicable (2).</w:t>
      </w:r>
    </w:p>
    <w:p w14:paraId="6248414C" w14:textId="06FAD313"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t xml:space="preserve">Use of interpreters and multi-lingual counsellors: </w:t>
      </w:r>
      <w:r w:rsidRPr="00005E99">
        <w:rPr>
          <w:rFonts w:eastAsia="Times New Roman" w:cstheme="minorHAnsi"/>
          <w:kern w:val="28"/>
          <w:sz w:val="24"/>
          <w:szCs w:val="24"/>
          <w14:cntxtAlts/>
        </w:rPr>
        <w:t>Interpretation provided (30); No interpretation provided (10); Clients to arrange interpreters (13); Bi- or multi-lingual counsellors available (13) and Not certain (3).</w:t>
      </w:r>
    </w:p>
    <w:p w14:paraId="08FDEA30" w14:textId="5F803B9E"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r w:rsidRPr="00005E99">
        <w:rPr>
          <w:rFonts w:eastAsia="Times New Roman" w:cstheme="minorHAnsi"/>
          <w:b/>
          <w:bCs/>
          <w:kern w:val="28"/>
          <w:sz w:val="24"/>
          <w:szCs w:val="24"/>
          <w14:cntxtAlts/>
        </w:rPr>
        <w:lastRenderedPageBreak/>
        <w:t xml:space="preserve">Fees for the services: </w:t>
      </w:r>
      <w:r w:rsidRPr="00005E99">
        <w:rPr>
          <w:rFonts w:eastAsia="Times New Roman" w:cstheme="minorHAnsi"/>
          <w:kern w:val="28"/>
          <w:sz w:val="24"/>
          <w:szCs w:val="24"/>
          <w14:cntxtAlts/>
        </w:rPr>
        <w:t xml:space="preserve">Free for all (63); Free for some, e.g. residents of the areas (2); Sliding scale according to affordability (2) and Not free but at low rates (2). </w:t>
      </w:r>
    </w:p>
    <w:p w14:paraId="557C13AF" w14:textId="140C0103" w:rsidR="002D0F97" w:rsidRPr="00005E99" w:rsidRDefault="002D0F97" w:rsidP="002D0F97">
      <w:pPr>
        <w:widowControl w:val="0"/>
        <w:tabs>
          <w:tab w:val="left" w:pos="7380"/>
        </w:tabs>
        <w:spacing w:after="120" w:line="276" w:lineRule="auto"/>
        <w:jc w:val="both"/>
        <w:rPr>
          <w:rFonts w:eastAsia="Times New Roman" w:cstheme="minorHAnsi"/>
          <w:kern w:val="28"/>
          <w:sz w:val="24"/>
          <w:szCs w:val="24"/>
          <w14:cntxtAlts/>
        </w:rPr>
      </w:pPr>
    </w:p>
    <w:p w14:paraId="5AA39389" w14:textId="77777777" w:rsidR="002D0F97" w:rsidRPr="005B034E" w:rsidRDefault="002D0F97" w:rsidP="002D0F97">
      <w:pPr>
        <w:widowControl w:val="0"/>
        <w:spacing w:after="120" w:line="285" w:lineRule="auto"/>
        <w:rPr>
          <w:rFonts w:eastAsia="Times New Roman" w:cstheme="minorHAnsi"/>
          <w:b/>
          <w:bCs/>
          <w:kern w:val="28"/>
          <w:sz w:val="24"/>
          <w:szCs w:val="24"/>
          <w:u w:val="single"/>
          <w14:cntxtAlts/>
        </w:rPr>
      </w:pPr>
      <w:r w:rsidRPr="005B034E">
        <w:rPr>
          <w:rFonts w:eastAsia="Times New Roman" w:cstheme="minorHAnsi"/>
          <w:b/>
          <w:bCs/>
          <w:kern w:val="28"/>
          <w:sz w:val="24"/>
          <w:szCs w:val="24"/>
          <w:u w:val="single"/>
          <w14:cntxtAlts/>
        </w:rPr>
        <w:t>Research Limitations</w:t>
      </w:r>
    </w:p>
    <w:p w14:paraId="505FD186" w14:textId="024CB2F7" w:rsidR="002D0F97" w:rsidRPr="00005E99" w:rsidRDefault="002D0F97" w:rsidP="002D0F97">
      <w:pPr>
        <w:widowControl w:val="0"/>
        <w:tabs>
          <w:tab w:val="left" w:pos="7380"/>
        </w:tabs>
        <w:spacing w:after="120" w:line="276" w:lineRule="auto"/>
        <w:rPr>
          <w:rFonts w:eastAsia="Times New Roman" w:cstheme="minorHAnsi"/>
          <w:kern w:val="28"/>
          <w:sz w:val="24"/>
          <w:szCs w:val="24"/>
          <w14:cntxtAlts/>
        </w:rPr>
      </w:pPr>
      <w:r w:rsidRPr="00005E99">
        <w:rPr>
          <w:rFonts w:eastAsia="Times New Roman" w:cstheme="minorHAnsi"/>
          <w:b/>
          <w:bCs/>
          <w:kern w:val="28"/>
          <w:sz w:val="24"/>
          <w:szCs w:val="24"/>
          <w14:cntxtAlts/>
        </w:rPr>
        <w:t>Time constraints:</w:t>
      </w:r>
      <w:r w:rsidRPr="00005E99">
        <w:rPr>
          <w:rFonts w:eastAsia="Times New Roman" w:cstheme="minorHAnsi"/>
          <w:kern w:val="28"/>
          <w:sz w:val="24"/>
          <w:szCs w:val="24"/>
          <w14:cntxtAlts/>
        </w:rPr>
        <w:t xml:space="preserve"> The researcher could not follow up all the organisations which did not answer her initial phone calls. </w:t>
      </w:r>
    </w:p>
    <w:p w14:paraId="06F5EAF5" w14:textId="77777777" w:rsidR="002D0F97" w:rsidRPr="00005E99" w:rsidRDefault="002D0F97" w:rsidP="002D0F97">
      <w:pPr>
        <w:widowControl w:val="0"/>
        <w:tabs>
          <w:tab w:val="left" w:pos="7380"/>
        </w:tabs>
        <w:spacing w:after="120" w:line="276" w:lineRule="auto"/>
        <w:rPr>
          <w:rFonts w:eastAsia="Times New Roman" w:cstheme="minorHAnsi"/>
          <w:kern w:val="28"/>
          <w:sz w:val="24"/>
          <w:szCs w:val="24"/>
          <w14:cntxtAlts/>
        </w:rPr>
      </w:pPr>
      <w:r w:rsidRPr="00005E99">
        <w:rPr>
          <w:rFonts w:eastAsia="Times New Roman" w:cstheme="minorHAnsi"/>
          <w:b/>
          <w:bCs/>
          <w:kern w:val="28"/>
          <w:sz w:val="24"/>
          <w:szCs w:val="24"/>
          <w14:cntxtAlts/>
        </w:rPr>
        <w:t xml:space="preserve">Data selection: </w:t>
      </w:r>
      <w:r w:rsidRPr="00005E99">
        <w:rPr>
          <w:rFonts w:eastAsia="Times New Roman" w:cstheme="minorHAnsi"/>
          <w:kern w:val="28"/>
          <w:sz w:val="24"/>
          <w:szCs w:val="24"/>
          <w14:cntxtAlts/>
        </w:rPr>
        <w:t>Only included services in the third sector, not statutory services or the private sector.</w:t>
      </w:r>
    </w:p>
    <w:p w14:paraId="23437459" w14:textId="199F580B" w:rsidR="002D0F97" w:rsidRPr="00005E99" w:rsidRDefault="002D0F97" w:rsidP="002D0F97">
      <w:pPr>
        <w:tabs>
          <w:tab w:val="left" w:pos="7380"/>
        </w:tabs>
        <w:spacing w:line="276" w:lineRule="auto"/>
        <w:rPr>
          <w:rFonts w:eastAsia="Times New Roman" w:cstheme="minorHAnsi"/>
          <w:kern w:val="28"/>
          <w:sz w:val="24"/>
          <w:szCs w:val="24"/>
          <w14:cntxtAlts/>
        </w:rPr>
      </w:pPr>
      <w:r w:rsidRPr="00005E99">
        <w:rPr>
          <w:rFonts w:eastAsia="Times New Roman" w:cstheme="minorHAnsi"/>
          <w:b/>
          <w:bCs/>
          <w:kern w:val="28"/>
          <w:sz w:val="24"/>
          <w:szCs w:val="24"/>
          <w14:cntxtAlts/>
        </w:rPr>
        <w:t>Questionnaire design:</w:t>
      </w:r>
      <w:r w:rsidRPr="00005E99">
        <w:rPr>
          <w:rFonts w:eastAsia="Times New Roman" w:cstheme="minorHAnsi"/>
          <w:kern w:val="28"/>
          <w:sz w:val="24"/>
          <w:szCs w:val="24"/>
          <w14:cntxtAlts/>
        </w:rPr>
        <w:t xml:space="preserve"> Could have follow-up questions about interpreters, e.g. are they professional?</w:t>
      </w:r>
    </w:p>
    <w:p w14:paraId="23870D4E" w14:textId="77777777" w:rsidR="002D0F97" w:rsidRPr="00005E99" w:rsidRDefault="002D0F97" w:rsidP="002D0F97">
      <w:pPr>
        <w:widowControl w:val="0"/>
        <w:spacing w:after="120" w:line="285" w:lineRule="auto"/>
        <w:rPr>
          <w:rFonts w:eastAsia="Times New Roman" w:cstheme="minorHAnsi"/>
          <w:kern w:val="28"/>
          <w:sz w:val="24"/>
          <w:szCs w:val="24"/>
          <w14:cntxtAlts/>
        </w:rPr>
      </w:pPr>
      <w:r w:rsidRPr="00005E99">
        <w:rPr>
          <w:rFonts w:eastAsia="Times New Roman" w:cstheme="minorHAnsi"/>
          <w:kern w:val="28"/>
          <w:sz w:val="24"/>
          <w:szCs w:val="24"/>
          <w14:cntxtAlts/>
        </w:rPr>
        <w:t>If no interpreters used, ask why. Also, ‘gender specific’ space could be used instead of ‘female only’ space as it is more inclusive.</w:t>
      </w:r>
    </w:p>
    <w:p w14:paraId="60B20E55" w14:textId="77777777" w:rsidR="002D0F97" w:rsidRPr="00005E99" w:rsidRDefault="002D0F97" w:rsidP="002D0F97">
      <w:pPr>
        <w:widowControl w:val="0"/>
        <w:spacing w:after="120" w:line="285" w:lineRule="auto"/>
        <w:rPr>
          <w:rFonts w:eastAsia="Times New Roman" w:cstheme="minorHAnsi"/>
          <w:kern w:val="28"/>
          <w:sz w:val="24"/>
          <w:szCs w:val="24"/>
          <w14:cntxtAlts/>
        </w:rPr>
      </w:pPr>
    </w:p>
    <w:p w14:paraId="4827596C" w14:textId="0F162C66" w:rsidR="002D0F97" w:rsidRPr="005B034E" w:rsidRDefault="002D0F97" w:rsidP="002D0F97">
      <w:pPr>
        <w:widowControl w:val="0"/>
        <w:spacing w:after="120" w:line="285" w:lineRule="auto"/>
        <w:rPr>
          <w:rFonts w:eastAsia="Times New Roman" w:cstheme="minorHAnsi"/>
          <w:kern w:val="28"/>
          <w:sz w:val="24"/>
          <w:szCs w:val="24"/>
          <w:u w:val="single"/>
          <w14:cntxtAlts/>
        </w:rPr>
      </w:pPr>
      <w:r w:rsidRPr="005B034E">
        <w:rPr>
          <w:rFonts w:eastAsia="Times New Roman" w:cstheme="minorHAnsi"/>
          <w:b/>
          <w:bCs/>
          <w:kern w:val="28"/>
          <w:sz w:val="24"/>
          <w:szCs w:val="24"/>
          <w:u w:val="single"/>
          <w14:cntxtAlts/>
        </w:rPr>
        <w:t>Conclusions</w:t>
      </w:r>
    </w:p>
    <w:p w14:paraId="289E6784" w14:textId="77777777" w:rsidR="002D0F97" w:rsidRPr="00005E99" w:rsidRDefault="002D0F97" w:rsidP="002D0F97">
      <w:pPr>
        <w:spacing w:line="276" w:lineRule="auto"/>
        <w:jc w:val="both"/>
        <w:rPr>
          <w:rFonts w:eastAsia="Times New Roman" w:cstheme="minorHAnsi"/>
          <w:kern w:val="28"/>
          <w:sz w:val="24"/>
          <w:szCs w:val="24"/>
          <w14:cntxtAlts/>
        </w:rPr>
      </w:pPr>
      <w:r w:rsidRPr="00005E99">
        <w:rPr>
          <w:rFonts w:eastAsia="Times New Roman" w:cstheme="minorHAnsi"/>
          <w:kern w:val="28"/>
          <w:sz w:val="24"/>
          <w:szCs w:val="24"/>
          <w14:cntxtAlts/>
        </w:rPr>
        <w:t>With long waiting lists in many counselling services for sexual violence survivors, there was serious shortage across the UK but particularly so in Scotland. The service for BAMER communities were concentrated in London with its highly multi-ethnic population. However, with the government’s dispersal policy and the Syrian Vulnerable Persons Resettlement Scheme, the number of refugees and asylum-seekers living in other parts of the UK are increasing and so are their service needs. Also, interpreters and multi-lingual counsellors can increase their access to counselling service. These are important information for policy makers in service planning. Lastly, the directory of counselling services produced is helpful for refugees and asylum-seekers who need the service and those working with them.</w:t>
      </w:r>
    </w:p>
    <w:p w14:paraId="56CFEF62" w14:textId="77777777" w:rsidR="002D0F97" w:rsidRPr="00005E99" w:rsidRDefault="002D0F97" w:rsidP="002D0F97">
      <w:pPr>
        <w:widowControl w:val="0"/>
        <w:spacing w:after="0" w:line="285" w:lineRule="auto"/>
        <w:jc w:val="both"/>
        <w:rPr>
          <w:rFonts w:eastAsia="Times New Roman" w:cstheme="minorHAnsi"/>
          <w:b/>
          <w:bCs/>
          <w:kern w:val="28"/>
          <w:sz w:val="24"/>
          <w:szCs w:val="24"/>
          <w14:cntxtAlts/>
        </w:rPr>
      </w:pPr>
    </w:p>
    <w:p w14:paraId="7D391F37" w14:textId="619DF265" w:rsidR="00BD46DD" w:rsidRPr="00170BD3" w:rsidRDefault="002D0F97" w:rsidP="00170BD3">
      <w:pPr>
        <w:widowControl w:val="0"/>
        <w:spacing w:after="0" w:line="285" w:lineRule="auto"/>
        <w:jc w:val="both"/>
        <w:rPr>
          <w:rFonts w:eastAsia="Times New Roman" w:cstheme="minorHAnsi"/>
          <w:kern w:val="28"/>
          <w:sz w:val="24"/>
          <w:szCs w:val="24"/>
          <w14:cntxtAlts/>
        </w:rPr>
      </w:pPr>
      <w:r w:rsidRPr="00005E99">
        <w:rPr>
          <w:rFonts w:eastAsia="Times New Roman" w:cstheme="minorHAnsi"/>
          <w:kern w:val="28"/>
          <w:sz w:val="24"/>
          <w:szCs w:val="24"/>
          <w14:cntxtAlts/>
        </w:rPr>
        <w:t>If you would like to have a copy of the directory produced in the research, please contact the researcher Tracey Leung (traceyleung@yahoo.com).</w:t>
      </w:r>
    </w:p>
    <w:p w14:paraId="107B9589" w14:textId="70245067" w:rsidR="00BD46DD" w:rsidRDefault="00BD46DD"/>
    <w:p w14:paraId="3C2D82FE" w14:textId="77777777" w:rsidR="00BD46DD" w:rsidRDefault="00BD46DD"/>
    <w:sectPr w:rsidR="00BD4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DD"/>
    <w:rsid w:val="00005E99"/>
    <w:rsid w:val="00170BD3"/>
    <w:rsid w:val="002D0F97"/>
    <w:rsid w:val="005B034E"/>
    <w:rsid w:val="007731BA"/>
    <w:rsid w:val="008B49FA"/>
    <w:rsid w:val="00BD46DD"/>
    <w:rsid w:val="00F143D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785E"/>
  <w15:chartTrackingRefBased/>
  <w15:docId w15:val="{8AAD523A-E88B-4690-8A06-8952E105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52349">
      <w:bodyDiv w:val="1"/>
      <w:marLeft w:val="0"/>
      <w:marRight w:val="0"/>
      <w:marTop w:val="0"/>
      <w:marBottom w:val="0"/>
      <w:divBdr>
        <w:top w:val="none" w:sz="0" w:space="0" w:color="auto"/>
        <w:left w:val="none" w:sz="0" w:space="0" w:color="auto"/>
        <w:bottom w:val="none" w:sz="0" w:space="0" w:color="auto"/>
        <w:right w:val="none" w:sz="0" w:space="0" w:color="auto"/>
      </w:divBdr>
    </w:div>
    <w:div w:id="744381964">
      <w:bodyDiv w:val="1"/>
      <w:marLeft w:val="0"/>
      <w:marRight w:val="0"/>
      <w:marTop w:val="0"/>
      <w:marBottom w:val="0"/>
      <w:divBdr>
        <w:top w:val="none" w:sz="0" w:space="0" w:color="auto"/>
        <w:left w:val="none" w:sz="0" w:space="0" w:color="auto"/>
        <w:bottom w:val="none" w:sz="0" w:space="0" w:color="auto"/>
        <w:right w:val="none" w:sz="0" w:space="0" w:color="auto"/>
      </w:divBdr>
    </w:div>
    <w:div w:id="1287393042">
      <w:bodyDiv w:val="1"/>
      <w:marLeft w:val="0"/>
      <w:marRight w:val="0"/>
      <w:marTop w:val="0"/>
      <w:marBottom w:val="0"/>
      <w:divBdr>
        <w:top w:val="none" w:sz="0" w:space="0" w:color="auto"/>
        <w:left w:val="none" w:sz="0" w:space="0" w:color="auto"/>
        <w:bottom w:val="none" w:sz="0" w:space="0" w:color="auto"/>
        <w:right w:val="none" w:sz="0" w:space="0" w:color="auto"/>
      </w:divBdr>
    </w:div>
    <w:div w:id="1687632481">
      <w:bodyDiv w:val="1"/>
      <w:marLeft w:val="0"/>
      <w:marRight w:val="0"/>
      <w:marTop w:val="0"/>
      <w:marBottom w:val="0"/>
      <w:divBdr>
        <w:top w:val="none" w:sz="0" w:space="0" w:color="auto"/>
        <w:left w:val="none" w:sz="0" w:space="0" w:color="auto"/>
        <w:bottom w:val="none" w:sz="0" w:space="0" w:color="auto"/>
        <w:right w:val="none" w:sz="0" w:space="0" w:color="auto"/>
      </w:divBdr>
    </w:div>
    <w:div w:id="1693263304">
      <w:bodyDiv w:val="1"/>
      <w:marLeft w:val="0"/>
      <w:marRight w:val="0"/>
      <w:marTop w:val="0"/>
      <w:marBottom w:val="0"/>
      <w:divBdr>
        <w:top w:val="none" w:sz="0" w:space="0" w:color="auto"/>
        <w:left w:val="none" w:sz="0" w:space="0" w:color="auto"/>
        <w:bottom w:val="none" w:sz="0" w:space="0" w:color="auto"/>
        <w:right w:val="none" w:sz="0" w:space="0" w:color="auto"/>
      </w:divBdr>
    </w:div>
    <w:div w:id="2072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Tai-yin Tsoi</dc:creator>
  <cp:keywords/>
  <dc:description/>
  <cp:lastModifiedBy>Daniel Tai-yin Tsoi</cp:lastModifiedBy>
  <cp:revision>5</cp:revision>
  <dcterms:created xsi:type="dcterms:W3CDTF">2020-04-29T18:23:00Z</dcterms:created>
  <dcterms:modified xsi:type="dcterms:W3CDTF">2020-04-30T18:58:00Z</dcterms:modified>
</cp:coreProperties>
</file>