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898" w:rsidRDefault="00B52AB5" w:rsidP="00932898">
      <w:pPr>
        <w:widowControl w:val="0"/>
        <w:spacing w:after="0" w:line="240" w:lineRule="auto"/>
        <w:contextualSpacing/>
        <w:jc w:val="center"/>
        <w:rPr>
          <w:rFonts w:ascii="Arial Narrow" w:hAnsi="Arial Narrow" w:cs="Arial"/>
          <w:b/>
          <w:bCs/>
          <w:color w:val="auto"/>
          <w:sz w:val="28"/>
          <w:szCs w:val="28"/>
          <w14:ligatures w14:val="none"/>
        </w:rPr>
      </w:pPr>
      <w:r w:rsidRPr="00932898">
        <w:rPr>
          <w:rFonts w:ascii="Arial Narrow" w:hAnsi="Arial Narrow" w:cs="Arial"/>
          <w:b/>
          <w:bCs/>
          <w:color w:val="auto"/>
          <w:sz w:val="28"/>
          <w:szCs w:val="28"/>
          <w14:ligatures w14:val="none"/>
        </w:rPr>
        <w:t xml:space="preserve">The role of presence when working with children and young people </w:t>
      </w:r>
    </w:p>
    <w:p w:rsidR="00B52AB5" w:rsidRPr="00932898" w:rsidRDefault="00F06DB2" w:rsidP="00932898">
      <w:pPr>
        <w:widowControl w:val="0"/>
        <w:spacing w:after="0" w:line="240" w:lineRule="auto"/>
        <w:contextualSpacing/>
        <w:jc w:val="center"/>
        <w:rPr>
          <w:rFonts w:ascii="Arial Narrow" w:hAnsi="Arial Narrow" w:cs="Arial"/>
          <w:color w:val="auto"/>
          <w:sz w:val="28"/>
          <w:szCs w:val="28"/>
          <w14:ligatures w14:val="none"/>
        </w:rPr>
      </w:pPr>
      <w:r w:rsidRPr="00932898">
        <w:rPr>
          <w:rFonts w:ascii="Arial Narrow" w:hAnsi="Arial Narrow" w:cs="Arial"/>
          <w:b/>
          <w:bCs/>
          <w:color w:val="auto"/>
          <w:sz w:val="28"/>
          <w:szCs w:val="28"/>
          <w14:ligatures w14:val="none"/>
        </w:rPr>
        <w:t>d</w:t>
      </w:r>
      <w:r w:rsidR="00B52AB5" w:rsidRPr="00932898">
        <w:rPr>
          <w:rFonts w:ascii="Arial Narrow" w:hAnsi="Arial Narrow" w:cs="Arial"/>
          <w:b/>
          <w:bCs/>
          <w:color w:val="auto"/>
          <w:sz w:val="28"/>
          <w:szCs w:val="28"/>
          <w14:ligatures w14:val="none"/>
        </w:rPr>
        <w:t>emonstrating harmful sexual behaviour</w:t>
      </w:r>
    </w:p>
    <w:p w:rsidR="00F06DB2" w:rsidRPr="00932898" w:rsidRDefault="00F06DB2" w:rsidP="00932898">
      <w:pPr>
        <w:spacing w:after="0" w:line="240" w:lineRule="auto"/>
        <w:ind w:firstLine="720"/>
        <w:contextualSpacing/>
        <w:rPr>
          <w:rFonts w:ascii="Arial Narrow" w:hAnsi="Arial Narrow" w:cs="Arial"/>
          <w:b/>
          <w:bCs/>
          <w:color w:val="auto"/>
          <w:sz w:val="24"/>
          <w:szCs w:val="24"/>
        </w:rPr>
      </w:pPr>
    </w:p>
    <w:p w:rsidR="00F06DB2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932898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Researcher: Dr Melody Cranbourne-Rosser (University of South Wales) </w:t>
      </w: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4"/>
          <w:szCs w:val="24"/>
        </w:rPr>
      </w:pPr>
      <w:r w:rsidRPr="00932898">
        <w:rPr>
          <w:rFonts w:ascii="Arial Narrow" w:hAnsi="Arial Narrow" w:cs="Arial"/>
          <w:b/>
          <w:bCs/>
          <w:color w:val="auto"/>
          <w:sz w:val="24"/>
          <w:szCs w:val="24"/>
        </w:rPr>
        <w:t>Research Supervisors: Dr Miglena Campbell, Dr Lesley Pilkington, &amp; Dr Nikki Carthy (Teesside University)</w:t>
      </w:r>
      <w:r w:rsidRPr="00932898">
        <w:rPr>
          <w:rFonts w:ascii="Arial Narrow" w:hAnsi="Arial Narrow" w:cs="Arial"/>
          <w:color w:val="auto"/>
          <w:sz w:val="24"/>
          <w:szCs w:val="24"/>
        </w:rPr>
        <w:t> </w:t>
      </w:r>
    </w:p>
    <w:p w:rsidR="00F06DB2" w:rsidRPr="00932898" w:rsidRDefault="00F06DB2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16"/>
          <w:szCs w:val="16"/>
        </w:rPr>
      </w:pPr>
    </w:p>
    <w:p w:rsidR="00F06DB2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932898">
        <w:rPr>
          <w:rFonts w:ascii="Arial Narrow" w:hAnsi="Arial Narrow" w:cs="Arial"/>
          <w:b/>
          <w:bCs/>
          <w:color w:val="auto"/>
          <w:sz w:val="24"/>
          <w:szCs w:val="24"/>
        </w:rPr>
        <w:t>Presence…</w:t>
      </w:r>
    </w:p>
    <w:p w:rsidR="00F06DB2" w:rsidRPr="00932898" w:rsidRDefault="00F06DB2" w:rsidP="00F06DB2">
      <w:pPr>
        <w:spacing w:after="0" w:line="240" w:lineRule="auto"/>
        <w:contextualSpacing/>
        <w:rPr>
          <w:rFonts w:ascii="Arial Narrow" w:hAnsi="Arial Narrow" w:cs="Arial"/>
          <w:b/>
          <w:bCs/>
          <w:color w:val="auto"/>
          <w:sz w:val="16"/>
          <w:szCs w:val="16"/>
        </w:rPr>
      </w:pPr>
    </w:p>
    <w:p w:rsidR="00F06DB2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color w:val="auto"/>
          <w:sz w:val="22"/>
          <w:szCs w:val="22"/>
        </w:rPr>
        <w:t>‘Bringing one’s whole self into the encounter with a client, being completely in the moment on a multiplicity of</w:t>
      </w:r>
      <w:r w:rsidR="00F06DB2" w:rsidRPr="00932898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932898">
        <w:rPr>
          <w:rFonts w:ascii="Arial Narrow" w:hAnsi="Arial Narrow" w:cs="Arial"/>
          <w:color w:val="auto"/>
          <w:sz w:val="22"/>
          <w:szCs w:val="22"/>
        </w:rPr>
        <w:t>levels’ (Geller, 2013, p14)</w:t>
      </w:r>
    </w:p>
    <w:p w:rsidR="00932898" w:rsidRPr="00932898" w:rsidRDefault="00932898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16"/>
          <w:szCs w:val="16"/>
        </w:rPr>
      </w:pP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color w:val="auto"/>
          <w:sz w:val="22"/>
          <w:szCs w:val="22"/>
        </w:rPr>
        <w:t>‘Intersubjective consciousness, a form of reflectivity arising when we become</w:t>
      </w:r>
      <w:r w:rsidR="00F06DB2" w:rsidRPr="00932898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932898">
        <w:rPr>
          <w:rFonts w:ascii="Arial Narrow" w:hAnsi="Arial Narrow" w:cs="Arial"/>
          <w:color w:val="auto"/>
          <w:sz w:val="22"/>
          <w:szCs w:val="22"/>
        </w:rPr>
        <w:t>conscious of our contents of mind by virtue of their being simultaneously</w:t>
      </w:r>
      <w:r w:rsidR="00F06DB2" w:rsidRPr="00932898">
        <w:rPr>
          <w:rFonts w:ascii="Arial Narrow" w:hAnsi="Arial Narrow" w:cs="Arial"/>
          <w:color w:val="auto"/>
          <w:sz w:val="22"/>
          <w:szCs w:val="22"/>
        </w:rPr>
        <w:t xml:space="preserve"> r</w:t>
      </w:r>
      <w:r w:rsidRPr="00932898">
        <w:rPr>
          <w:rFonts w:ascii="Arial Narrow" w:hAnsi="Arial Narrow" w:cs="Arial"/>
          <w:color w:val="auto"/>
          <w:sz w:val="22"/>
          <w:szCs w:val="22"/>
        </w:rPr>
        <w:t>eflected back to us from the mind of another’ (Stern, 2004, p.xvi) </w:t>
      </w:r>
    </w:p>
    <w:p w:rsidR="00F06DB2" w:rsidRPr="00932898" w:rsidRDefault="00F06DB2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16"/>
          <w:szCs w:val="16"/>
        </w:rPr>
      </w:pP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932898">
        <w:rPr>
          <w:rFonts w:ascii="Arial Narrow" w:hAnsi="Arial Narrow" w:cs="Arial"/>
          <w:b/>
          <w:bCs/>
          <w:color w:val="auto"/>
          <w:sz w:val="24"/>
          <w:szCs w:val="24"/>
        </w:rPr>
        <w:t>Aims &amp; Purpose</w:t>
      </w: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color w:val="auto"/>
          <w:sz w:val="22"/>
          <w:szCs w:val="22"/>
        </w:rPr>
        <w:t>Explore the role of presence through the lived experience of practitioners working with CYP demonstrating HSB.</w:t>
      </w:r>
    </w:p>
    <w:p w:rsidR="00F06DB2" w:rsidRPr="00932898" w:rsidRDefault="00F06DB2" w:rsidP="00F06DB2">
      <w:pPr>
        <w:spacing w:after="0" w:line="240" w:lineRule="auto"/>
        <w:contextualSpacing/>
        <w:rPr>
          <w:rFonts w:ascii="Arial Narrow" w:hAnsi="Arial Narrow" w:cs="Arial"/>
          <w:b/>
          <w:bCs/>
          <w:color w:val="auto"/>
          <w:sz w:val="16"/>
          <w:szCs w:val="16"/>
        </w:rPr>
      </w:pP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932898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Research Questions </w:t>
      </w: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color w:val="auto"/>
          <w:sz w:val="22"/>
          <w:szCs w:val="22"/>
        </w:rPr>
        <w:t xml:space="preserve">What role does presence play? </w:t>
      </w: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color w:val="auto"/>
          <w:sz w:val="22"/>
          <w:szCs w:val="22"/>
        </w:rPr>
        <w:t xml:space="preserve">What helps cultivate presence? </w:t>
      </w: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color w:val="auto"/>
          <w:sz w:val="22"/>
          <w:szCs w:val="22"/>
        </w:rPr>
        <w:t xml:space="preserve">What influence does presence have on practice and practitioner sustainability? </w:t>
      </w:r>
    </w:p>
    <w:p w:rsidR="00F06DB2" w:rsidRPr="00932898" w:rsidRDefault="00F06DB2" w:rsidP="00F06DB2">
      <w:pPr>
        <w:spacing w:after="0" w:line="240" w:lineRule="auto"/>
        <w:contextualSpacing/>
        <w:rPr>
          <w:rFonts w:ascii="Arial Narrow" w:hAnsi="Arial Narrow" w:cs="Arial"/>
          <w:b/>
          <w:bCs/>
          <w:color w:val="auto"/>
          <w:sz w:val="16"/>
          <w:szCs w:val="16"/>
        </w:rPr>
      </w:pP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932898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Design Methodology </w:t>
      </w: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Approach: </w:t>
      </w:r>
      <w:r w:rsidRPr="00932898">
        <w:rPr>
          <w:rFonts w:ascii="Arial Narrow" w:hAnsi="Arial Narrow" w:cs="Arial"/>
          <w:color w:val="auto"/>
          <w:sz w:val="22"/>
          <w:szCs w:val="22"/>
        </w:rPr>
        <w:t xml:space="preserve">Interpretative </w:t>
      </w: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color w:val="auto"/>
          <w:sz w:val="22"/>
          <w:szCs w:val="22"/>
        </w:rPr>
        <w:t xml:space="preserve">Phenomenological Analysis </w:t>
      </w: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Participants: </w:t>
      </w:r>
      <w:r w:rsidRPr="00932898">
        <w:rPr>
          <w:rFonts w:ascii="Arial Narrow" w:hAnsi="Arial Narrow" w:cs="Arial"/>
          <w:color w:val="auto"/>
          <w:sz w:val="22"/>
          <w:szCs w:val="22"/>
        </w:rPr>
        <w:t xml:space="preserve">8 UK-based practitioners working in two services specialising in assessments and therapy programmes for CYP demonstrating HSB </w:t>
      </w: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Methods: </w:t>
      </w:r>
      <w:r w:rsidRPr="00932898">
        <w:rPr>
          <w:rFonts w:ascii="Arial Narrow" w:hAnsi="Arial Narrow" w:cs="Arial"/>
          <w:color w:val="auto"/>
          <w:sz w:val="22"/>
          <w:szCs w:val="22"/>
        </w:rPr>
        <w:t>Semi-structured interviews (recorded and transcribed), coding</w:t>
      </w:r>
      <w:r w:rsidR="00A52BE8">
        <w:rPr>
          <w:rFonts w:ascii="Arial Narrow" w:hAnsi="Arial Narrow" w:cs="Arial"/>
          <w:color w:val="auto"/>
          <w:sz w:val="22"/>
          <w:szCs w:val="22"/>
        </w:rPr>
        <w:t xml:space="preserve"> cycles, IPA analysis</w:t>
      </w:r>
      <w:r w:rsidRPr="00932898">
        <w:rPr>
          <w:rFonts w:ascii="Arial Narrow" w:hAnsi="Arial Narrow" w:cs="Arial"/>
          <w:color w:val="auto"/>
          <w:sz w:val="22"/>
          <w:szCs w:val="22"/>
        </w:rPr>
        <w:t xml:space="preserve">. </w:t>
      </w:r>
    </w:p>
    <w:p w:rsidR="00F06DB2" w:rsidRPr="00932898" w:rsidRDefault="00F06DB2" w:rsidP="00F06DB2">
      <w:pPr>
        <w:spacing w:after="0" w:line="240" w:lineRule="auto"/>
        <w:contextualSpacing/>
        <w:rPr>
          <w:rFonts w:ascii="Arial Narrow" w:hAnsi="Arial Narrow" w:cs="Arial"/>
          <w:b/>
          <w:bCs/>
          <w:color w:val="auto"/>
          <w:sz w:val="16"/>
          <w:szCs w:val="16"/>
        </w:rPr>
      </w:pP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4"/>
          <w:szCs w:val="24"/>
        </w:rPr>
      </w:pPr>
      <w:r w:rsidRPr="00932898">
        <w:rPr>
          <w:rFonts w:ascii="Arial Narrow" w:hAnsi="Arial Narrow" w:cs="Arial"/>
          <w:b/>
          <w:bCs/>
          <w:color w:val="auto"/>
          <w:sz w:val="24"/>
          <w:szCs w:val="24"/>
        </w:rPr>
        <w:t>Results &amp; Findings (Superordinate &amp; Subordinate Themes)</w:t>
      </w:r>
    </w:p>
    <w:p w:rsidR="00B52AB5" w:rsidRPr="00932898" w:rsidRDefault="00B52AB5" w:rsidP="000F0943">
      <w:pPr>
        <w:pStyle w:val="ListParagraph"/>
        <w:numPr>
          <w:ilvl w:val="0"/>
          <w:numId w:val="4"/>
        </w:numPr>
        <w:spacing w:after="0" w:line="240" w:lineRule="auto"/>
        <w:ind w:left="142" w:hanging="153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932898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Personal Presence </w:t>
      </w:r>
    </w:p>
    <w:p w:rsidR="00B52AB5" w:rsidRPr="00932898" w:rsidRDefault="00B52AB5" w:rsidP="000F0943">
      <w:pPr>
        <w:spacing w:after="0" w:line="240" w:lineRule="auto"/>
        <w:ind w:left="142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color w:val="auto"/>
          <w:sz w:val="22"/>
          <w:szCs w:val="22"/>
        </w:rPr>
        <w:t>(Ineffability, Readiness, Meta Presence)</w:t>
      </w:r>
    </w:p>
    <w:p w:rsidR="00B52AB5" w:rsidRPr="00932898" w:rsidRDefault="00B52AB5" w:rsidP="000F0943">
      <w:pPr>
        <w:pStyle w:val="ListParagraph"/>
        <w:numPr>
          <w:ilvl w:val="0"/>
          <w:numId w:val="3"/>
        </w:numPr>
        <w:spacing w:after="0" w:line="240" w:lineRule="auto"/>
        <w:ind w:left="142" w:hanging="153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932898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Being Present with Others </w:t>
      </w:r>
    </w:p>
    <w:p w:rsidR="00B52AB5" w:rsidRPr="00932898" w:rsidRDefault="00B52AB5" w:rsidP="000F0943">
      <w:pPr>
        <w:spacing w:after="0" w:line="240" w:lineRule="auto"/>
        <w:ind w:left="142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color w:val="auto"/>
          <w:sz w:val="22"/>
          <w:szCs w:val="22"/>
        </w:rPr>
        <w:t xml:space="preserve">(Being With, Co-connection, Autonomous Collaboration, </w:t>
      </w:r>
    </w:p>
    <w:p w:rsidR="00B52AB5" w:rsidRPr="00932898" w:rsidRDefault="00B52AB5" w:rsidP="000F0943">
      <w:pPr>
        <w:spacing w:after="0" w:line="240" w:lineRule="auto"/>
        <w:ind w:left="142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color w:val="auto"/>
          <w:sz w:val="22"/>
          <w:szCs w:val="22"/>
        </w:rPr>
        <w:t>Relational Roadblocks)</w:t>
      </w:r>
    </w:p>
    <w:p w:rsidR="00B52AB5" w:rsidRPr="00932898" w:rsidRDefault="00B52AB5" w:rsidP="000F0943">
      <w:pPr>
        <w:pStyle w:val="ListParagraph"/>
        <w:numPr>
          <w:ilvl w:val="0"/>
          <w:numId w:val="2"/>
        </w:numPr>
        <w:spacing w:after="0" w:line="240" w:lineRule="auto"/>
        <w:ind w:left="142" w:hanging="153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932898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Presence and Wellbeing </w:t>
      </w:r>
    </w:p>
    <w:p w:rsidR="00B52AB5" w:rsidRPr="00932898" w:rsidRDefault="00B52AB5" w:rsidP="000F0943">
      <w:pPr>
        <w:spacing w:after="0" w:line="240" w:lineRule="auto"/>
        <w:ind w:left="142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color w:val="auto"/>
          <w:sz w:val="22"/>
          <w:szCs w:val="22"/>
        </w:rPr>
        <w:t xml:space="preserve">(Internal Manifestations, External Indications, Maintaining Wellness) </w:t>
      </w:r>
    </w:p>
    <w:p w:rsidR="00B52AB5" w:rsidRPr="00932898" w:rsidRDefault="00B52AB5" w:rsidP="000F0943">
      <w:pPr>
        <w:pStyle w:val="ListParagraph"/>
        <w:numPr>
          <w:ilvl w:val="0"/>
          <w:numId w:val="1"/>
        </w:numPr>
        <w:spacing w:after="0" w:line="240" w:lineRule="auto"/>
        <w:ind w:left="142" w:hanging="153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932898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Workplace Presence </w:t>
      </w:r>
    </w:p>
    <w:p w:rsidR="00B52AB5" w:rsidRPr="00932898" w:rsidRDefault="00B52AB5" w:rsidP="000F0943">
      <w:pPr>
        <w:spacing w:after="0" w:line="240" w:lineRule="auto"/>
        <w:ind w:left="142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color w:val="auto"/>
          <w:sz w:val="22"/>
          <w:szCs w:val="22"/>
        </w:rPr>
        <w:t xml:space="preserve">(Ethos, Practitioner Progression, Safe Holding) </w:t>
      </w: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16"/>
          <w:szCs w:val="16"/>
        </w:rPr>
      </w:pP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932898">
        <w:rPr>
          <w:rFonts w:ascii="Arial Narrow" w:hAnsi="Arial Narrow" w:cs="Arial"/>
          <w:b/>
          <w:bCs/>
          <w:color w:val="auto"/>
          <w:sz w:val="24"/>
          <w:szCs w:val="24"/>
        </w:rPr>
        <w:t>Limitations &amp; Conclusion</w:t>
      </w: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b/>
          <w:bCs/>
          <w:color w:val="auto"/>
          <w:sz w:val="22"/>
          <w:szCs w:val="22"/>
        </w:rPr>
        <w:t>Limitations</w:t>
      </w:r>
      <w:r w:rsidR="00C32E99" w:rsidRPr="00932898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 of study</w:t>
      </w:r>
      <w:r w:rsidRPr="00932898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: </w:t>
      </w:r>
      <w:r w:rsidR="00C32E99" w:rsidRPr="00932898">
        <w:rPr>
          <w:rFonts w:ascii="Arial Narrow" w:hAnsi="Arial Narrow" w:cs="Arial"/>
          <w:color w:val="auto"/>
          <w:sz w:val="22"/>
          <w:szCs w:val="22"/>
        </w:rPr>
        <w:t>Ideographic; researcher bias; o</w:t>
      </w:r>
      <w:r w:rsidRPr="00932898">
        <w:rPr>
          <w:rFonts w:ascii="Arial Narrow" w:hAnsi="Arial Narrow" w:cs="Arial"/>
          <w:color w:val="auto"/>
          <w:sz w:val="22"/>
          <w:szCs w:val="22"/>
        </w:rPr>
        <w:t xml:space="preserve">ntological and epistemological challenges posed by drawing on philosophy of Husserl and Heidegger to explore consciousness-related phenomenon (i.e., presence). </w:t>
      </w:r>
    </w:p>
    <w:p w:rsidR="00B52AB5" w:rsidRPr="00932898" w:rsidRDefault="00C32E99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Conclusions: </w:t>
      </w:r>
      <w:r w:rsidRPr="00932898">
        <w:rPr>
          <w:rFonts w:ascii="Arial Narrow" w:hAnsi="Arial Narrow" w:cs="Arial"/>
          <w:bCs/>
          <w:color w:val="auto"/>
          <w:sz w:val="22"/>
          <w:szCs w:val="22"/>
        </w:rPr>
        <w:t>Presence promotes r</w:t>
      </w:r>
      <w:r w:rsidR="00B52AB5" w:rsidRPr="00932898">
        <w:rPr>
          <w:rFonts w:ascii="Arial Narrow" w:hAnsi="Arial Narrow" w:cs="Arial"/>
          <w:color w:val="auto"/>
          <w:sz w:val="22"/>
          <w:szCs w:val="22"/>
        </w:rPr>
        <w:t xml:space="preserve">obust therapeutic relationships; quality and depth of therapeutic encounter; shared sense of sanctuary and safety; working with dual need (victim and victimiser) of CYP; </w:t>
      </w:r>
      <w:r w:rsidRPr="00932898">
        <w:rPr>
          <w:rFonts w:ascii="Arial Narrow" w:hAnsi="Arial Narrow" w:cs="Arial"/>
          <w:color w:val="auto"/>
          <w:sz w:val="22"/>
          <w:szCs w:val="22"/>
        </w:rPr>
        <w:t xml:space="preserve">practitioner </w:t>
      </w:r>
      <w:r w:rsidR="00B52AB5" w:rsidRPr="00932898">
        <w:rPr>
          <w:rFonts w:ascii="Arial Narrow" w:hAnsi="Arial Narrow" w:cs="Arial"/>
          <w:color w:val="auto"/>
          <w:sz w:val="22"/>
          <w:szCs w:val="22"/>
        </w:rPr>
        <w:t>satisfaction</w:t>
      </w:r>
      <w:r w:rsidRPr="00932898">
        <w:rPr>
          <w:rFonts w:ascii="Arial Narrow" w:hAnsi="Arial Narrow" w:cs="Arial"/>
          <w:color w:val="auto"/>
          <w:sz w:val="22"/>
          <w:szCs w:val="22"/>
        </w:rPr>
        <w:t xml:space="preserve">, perception of </w:t>
      </w:r>
      <w:bookmarkStart w:id="0" w:name="_GoBack"/>
      <w:bookmarkEnd w:id="0"/>
      <w:r w:rsidRPr="00932898">
        <w:rPr>
          <w:rFonts w:ascii="Arial Narrow" w:hAnsi="Arial Narrow" w:cs="Arial"/>
          <w:color w:val="auto"/>
          <w:sz w:val="22"/>
          <w:szCs w:val="22"/>
        </w:rPr>
        <w:t>therapeutic efficacy, practitioner sustainability</w:t>
      </w:r>
      <w:r w:rsidR="00BA2837">
        <w:rPr>
          <w:rFonts w:ascii="Arial Narrow" w:hAnsi="Arial Narrow" w:cs="Arial"/>
          <w:color w:val="auto"/>
          <w:sz w:val="22"/>
          <w:szCs w:val="22"/>
        </w:rPr>
        <w:t xml:space="preserve">. </w:t>
      </w:r>
      <w:r w:rsidRPr="00932898">
        <w:rPr>
          <w:rFonts w:ascii="Arial Narrow" w:hAnsi="Arial Narrow" w:cs="Arial"/>
          <w:color w:val="auto"/>
          <w:sz w:val="22"/>
          <w:szCs w:val="22"/>
        </w:rPr>
        <w:t xml:space="preserve">Caveats and challenges: </w:t>
      </w:r>
      <w:r w:rsidR="00B52AB5" w:rsidRPr="00932898">
        <w:rPr>
          <w:rFonts w:ascii="Arial Narrow" w:hAnsi="Arial Narrow" w:cs="Arial"/>
          <w:color w:val="auto"/>
          <w:sz w:val="22"/>
          <w:szCs w:val="22"/>
        </w:rPr>
        <w:t>Empathic engagement with early wounding, trauma, and HSB material; tacit knowledge;</w:t>
      </w:r>
      <w:r w:rsidR="0000182C">
        <w:rPr>
          <w:rFonts w:ascii="Arial Narrow" w:hAnsi="Arial Narrow" w:cs="Arial"/>
          <w:color w:val="auto"/>
          <w:sz w:val="22"/>
          <w:szCs w:val="22"/>
        </w:rPr>
        <w:t xml:space="preserve"> justifying externally; </w:t>
      </w:r>
      <w:r w:rsidR="00A35C17">
        <w:rPr>
          <w:rFonts w:ascii="Arial Narrow" w:hAnsi="Arial Narrow" w:cs="Arial"/>
          <w:color w:val="auto"/>
          <w:sz w:val="22"/>
          <w:szCs w:val="22"/>
        </w:rPr>
        <w:t>agency responsibilities</w:t>
      </w:r>
      <w:r w:rsidR="004C5245">
        <w:rPr>
          <w:rFonts w:ascii="Arial Narrow" w:hAnsi="Arial Narrow" w:cs="Arial"/>
          <w:color w:val="auto"/>
          <w:sz w:val="22"/>
          <w:szCs w:val="22"/>
        </w:rPr>
        <w:t>;</w:t>
      </w:r>
      <w:r w:rsidR="00A35C17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B52AB5" w:rsidRPr="00932898">
        <w:rPr>
          <w:rFonts w:ascii="Arial Narrow" w:hAnsi="Arial Narrow" w:cs="Arial"/>
          <w:color w:val="auto"/>
          <w:sz w:val="22"/>
          <w:szCs w:val="22"/>
        </w:rPr>
        <w:t xml:space="preserve">intensity of intentional focus. </w:t>
      </w:r>
    </w:p>
    <w:p w:rsidR="00F06DB2" w:rsidRPr="00932898" w:rsidRDefault="00932898" w:rsidP="00932898">
      <w:pPr>
        <w:tabs>
          <w:tab w:val="left" w:pos="1170"/>
        </w:tabs>
        <w:spacing w:after="0" w:line="240" w:lineRule="auto"/>
        <w:contextualSpacing/>
        <w:rPr>
          <w:rFonts w:ascii="Arial Narrow" w:hAnsi="Arial Narrow" w:cs="Arial"/>
          <w:b/>
          <w:bCs/>
          <w:color w:val="auto"/>
          <w:sz w:val="16"/>
          <w:szCs w:val="16"/>
        </w:rPr>
      </w:pPr>
      <w:r>
        <w:rPr>
          <w:rFonts w:ascii="Arial Narrow" w:hAnsi="Arial Narrow" w:cs="Arial"/>
          <w:b/>
          <w:bCs/>
          <w:color w:val="auto"/>
          <w:sz w:val="22"/>
          <w:szCs w:val="22"/>
        </w:rPr>
        <w:tab/>
      </w: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932898">
        <w:rPr>
          <w:rFonts w:ascii="Arial Narrow" w:hAnsi="Arial Narrow" w:cs="Arial"/>
          <w:b/>
          <w:bCs/>
          <w:color w:val="auto"/>
          <w:sz w:val="24"/>
          <w:szCs w:val="24"/>
        </w:rPr>
        <w:t>References</w:t>
      </w: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color w:val="auto"/>
          <w:sz w:val="22"/>
          <w:szCs w:val="22"/>
        </w:rPr>
        <w:t>Geller, S.M. (2013). Therapeutic Presence: An Essential Way of Being. In Cooper, M., Schmid, P.F., O’Hara, M., &amp; Bohart, A.C.</w:t>
      </w:r>
      <w:r w:rsidR="000C5E52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932898">
        <w:rPr>
          <w:rFonts w:ascii="Arial Narrow" w:hAnsi="Arial Narrow" w:cs="Arial"/>
          <w:color w:val="auto"/>
          <w:sz w:val="22"/>
          <w:szCs w:val="22"/>
        </w:rPr>
        <w:t xml:space="preserve">(Eds). </w:t>
      </w:r>
      <w:r w:rsidRPr="00932898">
        <w:rPr>
          <w:rFonts w:ascii="Arial Narrow" w:hAnsi="Arial Narrow" w:cs="Arial"/>
          <w:i/>
          <w:iCs/>
          <w:color w:val="auto"/>
          <w:sz w:val="22"/>
          <w:szCs w:val="22"/>
        </w:rPr>
        <w:t>The Handbook of Person-Centred Psychotherapy and Counselling</w:t>
      </w:r>
      <w:r w:rsidRPr="00932898">
        <w:rPr>
          <w:rFonts w:ascii="Arial Narrow" w:hAnsi="Arial Narrow" w:cs="Arial"/>
          <w:color w:val="auto"/>
          <w:sz w:val="22"/>
          <w:szCs w:val="22"/>
        </w:rPr>
        <w:t xml:space="preserve"> (2nd ed.). UK: Palgrave Macmillan. </w:t>
      </w: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color w:val="auto"/>
          <w:sz w:val="22"/>
          <w:szCs w:val="22"/>
        </w:rPr>
        <w:t xml:space="preserve">Saldana, J. (2013). </w:t>
      </w:r>
      <w:r w:rsidRPr="00932898">
        <w:rPr>
          <w:rFonts w:ascii="Arial Narrow" w:hAnsi="Arial Narrow" w:cs="Arial"/>
          <w:i/>
          <w:iCs/>
          <w:color w:val="auto"/>
          <w:sz w:val="22"/>
          <w:szCs w:val="22"/>
        </w:rPr>
        <w:t>The Coding Manual for Qualitative Researchers</w:t>
      </w:r>
      <w:r w:rsidRPr="00932898">
        <w:rPr>
          <w:rFonts w:ascii="Arial Narrow" w:hAnsi="Arial Narrow" w:cs="Arial"/>
          <w:color w:val="auto"/>
          <w:sz w:val="22"/>
          <w:szCs w:val="22"/>
        </w:rPr>
        <w:t xml:space="preserve">. UK: SAGE Publications Ltd. </w:t>
      </w:r>
    </w:p>
    <w:p w:rsidR="00B52AB5" w:rsidRPr="00932898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color w:val="auto"/>
          <w:sz w:val="22"/>
          <w:szCs w:val="22"/>
        </w:rPr>
        <w:t>Smith, J.A., Flowers, P. &amp; Larkin, M. (2009).</w:t>
      </w:r>
      <w:r w:rsidRPr="00932898">
        <w:rPr>
          <w:rFonts w:ascii="Arial Narrow" w:hAnsi="Arial Narrow" w:cs="Arial"/>
          <w:i/>
          <w:iCs/>
          <w:color w:val="auto"/>
          <w:sz w:val="22"/>
          <w:szCs w:val="22"/>
        </w:rPr>
        <w:t xml:space="preserve"> Interpretative Phenomenological Analysis: Theory, Method and Research. </w:t>
      </w:r>
      <w:r w:rsidRPr="00932898">
        <w:rPr>
          <w:rFonts w:ascii="Arial Narrow" w:hAnsi="Arial Narrow" w:cs="Arial"/>
          <w:color w:val="auto"/>
          <w:sz w:val="22"/>
          <w:szCs w:val="22"/>
        </w:rPr>
        <w:t xml:space="preserve">UK: SAGE Publications Ltd.  </w:t>
      </w:r>
    </w:p>
    <w:p w:rsidR="004055CC" w:rsidRDefault="00B52AB5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  <w:r w:rsidRPr="00932898">
        <w:rPr>
          <w:rFonts w:ascii="Arial Narrow" w:hAnsi="Arial Narrow" w:cs="Arial"/>
          <w:color w:val="auto"/>
          <w:sz w:val="22"/>
          <w:szCs w:val="22"/>
        </w:rPr>
        <w:t xml:space="preserve">Stern, D.N. (2004). </w:t>
      </w:r>
      <w:r w:rsidRPr="00932898">
        <w:rPr>
          <w:rFonts w:ascii="Arial Narrow" w:hAnsi="Arial Narrow" w:cs="Arial"/>
          <w:i/>
          <w:iCs/>
          <w:color w:val="auto"/>
          <w:sz w:val="22"/>
          <w:szCs w:val="22"/>
        </w:rPr>
        <w:t>The Present Moment in Psychotherapy and Everyday Life.</w:t>
      </w:r>
      <w:r w:rsidR="00904272" w:rsidRPr="00932898">
        <w:rPr>
          <w:rFonts w:ascii="Arial Narrow" w:hAnsi="Arial Narrow" w:cs="Arial"/>
          <w:color w:val="auto"/>
          <w:sz w:val="22"/>
          <w:szCs w:val="22"/>
        </w:rPr>
        <w:t xml:space="preserve"> USA: W.W.</w:t>
      </w:r>
      <w:r w:rsidRPr="00932898">
        <w:rPr>
          <w:rFonts w:ascii="Arial Narrow" w:hAnsi="Arial Narrow" w:cs="Arial"/>
          <w:color w:val="auto"/>
          <w:sz w:val="22"/>
          <w:szCs w:val="22"/>
        </w:rPr>
        <w:t xml:space="preserve">Norton &amp; Company Ltd. </w:t>
      </w:r>
    </w:p>
    <w:p w:rsidR="00932898" w:rsidRPr="00932898" w:rsidRDefault="00932898" w:rsidP="00F06DB2">
      <w:pPr>
        <w:spacing w:after="0" w:line="240" w:lineRule="auto"/>
        <w:contextualSpacing/>
        <w:rPr>
          <w:rFonts w:ascii="Arial Narrow" w:hAnsi="Arial Narrow" w:cs="Arial"/>
          <w:color w:val="auto"/>
          <w:sz w:val="22"/>
          <w:szCs w:val="22"/>
        </w:rPr>
      </w:pPr>
    </w:p>
    <w:sectPr w:rsidR="00932898" w:rsidRPr="00932898" w:rsidSect="004055CC">
      <w:pgSz w:w="11906" w:h="16838"/>
      <w:pgMar w:top="1021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534B3"/>
    <w:multiLevelType w:val="hybridMultilevel"/>
    <w:tmpl w:val="07EC6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C3DAB"/>
    <w:multiLevelType w:val="hybridMultilevel"/>
    <w:tmpl w:val="2B0A9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00A24"/>
    <w:multiLevelType w:val="hybridMultilevel"/>
    <w:tmpl w:val="5B7AD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A5C2B"/>
    <w:multiLevelType w:val="hybridMultilevel"/>
    <w:tmpl w:val="54C0E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B5"/>
    <w:rsid w:val="0000182C"/>
    <w:rsid w:val="0001214C"/>
    <w:rsid w:val="000C5E52"/>
    <w:rsid w:val="000F0943"/>
    <w:rsid w:val="003669CA"/>
    <w:rsid w:val="004055CC"/>
    <w:rsid w:val="004C5245"/>
    <w:rsid w:val="006671B5"/>
    <w:rsid w:val="007B5A33"/>
    <w:rsid w:val="0089133E"/>
    <w:rsid w:val="00904272"/>
    <w:rsid w:val="0091427C"/>
    <w:rsid w:val="00932898"/>
    <w:rsid w:val="00A35C17"/>
    <w:rsid w:val="00A52BE8"/>
    <w:rsid w:val="00B13CCD"/>
    <w:rsid w:val="00B52AB5"/>
    <w:rsid w:val="00BA2837"/>
    <w:rsid w:val="00C32E99"/>
    <w:rsid w:val="00ED398E"/>
    <w:rsid w:val="00F0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16F1F-1380-4EF3-A76B-F7F9C15A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B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Cranbourne</dc:creator>
  <cp:keywords/>
  <dc:description/>
  <cp:lastModifiedBy>Melody Cranbourne</cp:lastModifiedBy>
  <cp:revision>2</cp:revision>
  <dcterms:created xsi:type="dcterms:W3CDTF">2020-05-04T13:30:00Z</dcterms:created>
  <dcterms:modified xsi:type="dcterms:W3CDTF">2020-05-04T13:30:00Z</dcterms:modified>
</cp:coreProperties>
</file>