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7F2" w14:textId="4B6AADE5" w:rsidR="009306F5" w:rsidRDefault="009306F5" w:rsidP="009306F5">
      <w:pPr>
        <w:pStyle w:val="Heading5"/>
      </w:pPr>
      <w:r>
        <w:t>Role title:</w:t>
      </w:r>
      <w:r w:rsidR="004C667B">
        <w:t xml:space="preserve"> </w:t>
      </w:r>
      <w:r w:rsidR="004C667B">
        <w:tab/>
      </w:r>
      <w:r w:rsidR="005217A5">
        <w:t>Assistant</w:t>
      </w:r>
      <w:r w:rsidR="004C667B">
        <w:t xml:space="preserve"> Accountant</w:t>
      </w:r>
    </w:p>
    <w:p w14:paraId="2721DE43" w14:textId="7620F7FA" w:rsidR="004556F5" w:rsidRDefault="009306F5" w:rsidP="00306DBC">
      <w:pPr>
        <w:pStyle w:val="Heading5"/>
      </w:pPr>
      <w:r>
        <w:t>Reports to:</w:t>
      </w:r>
      <w:r w:rsidR="004C667B">
        <w:t xml:space="preserve"> </w:t>
      </w:r>
      <w:r w:rsidR="004C667B">
        <w:tab/>
      </w:r>
      <w:r w:rsidR="005217A5">
        <w:t>Accountant</w:t>
      </w:r>
    </w:p>
    <w:p w14:paraId="672393A8" w14:textId="32F5A0DA" w:rsidR="009306F5" w:rsidRPr="00001B1A" w:rsidRDefault="009306F5" w:rsidP="009306F5">
      <w:pPr>
        <w:pStyle w:val="Heading5"/>
      </w:pPr>
      <w:r>
        <w:t>Job purpose:</w:t>
      </w:r>
      <w:r w:rsidR="007D6890">
        <w:t xml:space="preserve"> </w:t>
      </w:r>
      <w:r w:rsidR="007C4AF7" w:rsidRPr="007D6368">
        <w:rPr>
          <w:b w:val="0"/>
        </w:rPr>
        <w:t>To</w:t>
      </w:r>
      <w:r w:rsidR="007C4AF7">
        <w:rPr>
          <w:b w:val="0"/>
        </w:rPr>
        <w:t xml:space="preserve"> act as a departmental business partner and to assist with the Association’s core accounting functions</w:t>
      </w:r>
      <w:r w:rsidR="000C4AB7">
        <w:rPr>
          <w:b w:val="0"/>
        </w:rPr>
        <w:t>.</w:t>
      </w:r>
    </w:p>
    <w:p w14:paraId="48861C13" w14:textId="4A7ADD1A" w:rsidR="009306F5" w:rsidRDefault="009306F5" w:rsidP="00927F99">
      <w:pPr>
        <w:ind w:left="2160" w:hanging="1440"/>
      </w:pPr>
      <w:r>
        <w:t>Financial:</w:t>
      </w:r>
      <w:r w:rsidR="00662632">
        <w:tab/>
      </w:r>
      <w:r w:rsidR="00571EC0">
        <w:t>Income c£</w:t>
      </w:r>
      <w:r w:rsidR="000C4AB7">
        <w:t>9.5</w:t>
      </w:r>
      <w:r w:rsidR="00571EC0">
        <w:t xml:space="preserve">m. </w:t>
      </w:r>
      <w:r w:rsidR="00642CE0">
        <w:t>Balance sheet c£</w:t>
      </w:r>
      <w:r w:rsidR="00571EC0">
        <w:t>5</w:t>
      </w:r>
      <w:r w:rsidR="00642CE0">
        <w:t>.5m.</w:t>
      </w:r>
    </w:p>
    <w:p w14:paraId="58CD69AB" w14:textId="32A9C656" w:rsidR="009306F5" w:rsidRDefault="009306F5" w:rsidP="009306F5">
      <w:r>
        <w:tab/>
      </w:r>
    </w:p>
    <w:p w14:paraId="362A9A00" w14:textId="00EA3EAE" w:rsidR="009306F5" w:rsidRDefault="009306F5" w:rsidP="009306F5">
      <w:r>
        <w:tab/>
        <w:t>Staff:</w:t>
      </w:r>
      <w:r w:rsidR="00230BF9">
        <w:tab/>
      </w:r>
      <w:r w:rsidR="00230BF9">
        <w:tab/>
      </w:r>
    </w:p>
    <w:p w14:paraId="5384E65E" w14:textId="659DB46F" w:rsidR="009306F5" w:rsidRDefault="009306F5" w:rsidP="009306F5"/>
    <w:p w14:paraId="6E1FFB5C" w14:textId="2C7A278A" w:rsidR="009306F5" w:rsidRDefault="009306F5" w:rsidP="00551AEF">
      <w:pPr>
        <w:ind w:left="2160" w:hanging="1440"/>
      </w:pPr>
      <w:r>
        <w:t xml:space="preserve">Other: </w:t>
      </w:r>
      <w:r w:rsidR="00230BF9">
        <w:tab/>
      </w:r>
      <w:r w:rsidR="000D660A">
        <w:t xml:space="preserve">BACP </w:t>
      </w:r>
      <w:r w:rsidR="00662632">
        <w:t>S</w:t>
      </w:r>
      <w:r w:rsidR="000D660A">
        <w:t>taff</w:t>
      </w:r>
      <w:r w:rsidR="00306DBC">
        <w:t>, third parties</w:t>
      </w:r>
    </w:p>
    <w:p w14:paraId="6699B871" w14:textId="47616A10" w:rsidR="009306F5" w:rsidRDefault="009306F5" w:rsidP="009306F5"/>
    <w:p w14:paraId="7F2EB463" w14:textId="1784E28A" w:rsidR="009306F5" w:rsidRDefault="009306F5" w:rsidP="009306F5">
      <w:pPr>
        <w:pStyle w:val="Heading5"/>
      </w:pPr>
      <w:r>
        <w:t>Principal accountabilities:</w:t>
      </w:r>
    </w:p>
    <w:p w14:paraId="072197AD" w14:textId="0305DCC7" w:rsidR="006B4FEA" w:rsidRDefault="006B4FEA" w:rsidP="001A1CBB">
      <w:pPr>
        <w:pStyle w:val="BulletIndent1"/>
      </w:pPr>
      <w:r>
        <w:t>Responsibility for the correct processing and control of all income</w:t>
      </w:r>
    </w:p>
    <w:p w14:paraId="75719E3F" w14:textId="70A94E59" w:rsidR="006B4FEA" w:rsidRDefault="006B4FEA" w:rsidP="006B4FEA">
      <w:pPr>
        <w:pStyle w:val="ListParagraph"/>
        <w:numPr>
          <w:ilvl w:val="0"/>
          <w:numId w:val="16"/>
        </w:numPr>
      </w:pPr>
      <w:r>
        <w:t>CRM income</w:t>
      </w:r>
    </w:p>
    <w:p w14:paraId="1589091E" w14:textId="12F36ACE" w:rsidR="006B4FEA" w:rsidRDefault="006B4FEA" w:rsidP="006B4FEA">
      <w:pPr>
        <w:pStyle w:val="ListParagraph"/>
        <w:numPr>
          <w:ilvl w:val="0"/>
          <w:numId w:val="16"/>
        </w:numPr>
      </w:pPr>
      <w:r>
        <w:t>Cash Receipts via the bank account</w:t>
      </w:r>
    </w:p>
    <w:p w14:paraId="1F551045" w14:textId="18DB305E" w:rsidR="006B4FEA" w:rsidRDefault="006B4FEA" w:rsidP="006B4FEA">
      <w:pPr>
        <w:pStyle w:val="ListParagraph"/>
        <w:numPr>
          <w:ilvl w:val="0"/>
          <w:numId w:val="16"/>
        </w:numPr>
      </w:pPr>
      <w:r>
        <w:t>Sales ledger invoices</w:t>
      </w:r>
    </w:p>
    <w:p w14:paraId="2BDB36C7" w14:textId="3998D152" w:rsidR="006B4FEA" w:rsidRDefault="006B4FEA" w:rsidP="006B4FEA">
      <w:pPr>
        <w:pStyle w:val="ListParagraph"/>
        <w:numPr>
          <w:ilvl w:val="0"/>
          <w:numId w:val="16"/>
        </w:numPr>
      </w:pPr>
      <w:r>
        <w:t>Monitoring and chasing of debtors</w:t>
      </w:r>
    </w:p>
    <w:p w14:paraId="5608BCDA" w14:textId="65849660" w:rsidR="006B4FEA" w:rsidRDefault="006B4FEA" w:rsidP="001A1CBB">
      <w:pPr>
        <w:pStyle w:val="BulletIndent1"/>
      </w:pPr>
      <w:r>
        <w:t>Reconciliation of the Associations Bank accounts</w:t>
      </w:r>
    </w:p>
    <w:p w14:paraId="2A89DD8F" w14:textId="0D733AD0" w:rsidR="006B4FEA" w:rsidRDefault="006B4FEA" w:rsidP="001A1CBB">
      <w:pPr>
        <w:pStyle w:val="BulletIndent1"/>
      </w:pPr>
      <w:r>
        <w:t>Assist in the financial management and analysis of Projects</w:t>
      </w:r>
    </w:p>
    <w:p w14:paraId="7BE5E05F" w14:textId="18A3F889" w:rsidR="006B4FEA" w:rsidRDefault="006B4FEA" w:rsidP="001A1CBB">
      <w:pPr>
        <w:pStyle w:val="BulletIndent1"/>
      </w:pPr>
      <w:r>
        <w:t xml:space="preserve">Processing of Company Credit cards using </w:t>
      </w:r>
      <w:proofErr w:type="spellStart"/>
      <w:r>
        <w:t>ExpenseIn</w:t>
      </w:r>
      <w:proofErr w:type="spellEnd"/>
      <w:r>
        <w:t xml:space="preserve"> system.</w:t>
      </w:r>
    </w:p>
    <w:p w14:paraId="55D6CEEA" w14:textId="5ABB145B" w:rsidR="001A1CBB" w:rsidRDefault="001A1CBB" w:rsidP="001A1CBB">
      <w:pPr>
        <w:pStyle w:val="BulletIndent1"/>
      </w:pPr>
      <w:r>
        <w:t>Carry out analysis of nominal accounts to assist budget holders with management of departmental budgets.</w:t>
      </w:r>
    </w:p>
    <w:p w14:paraId="759016A8" w14:textId="08BCBEB4" w:rsidR="00330CC2" w:rsidRDefault="00941D47" w:rsidP="000603C3">
      <w:pPr>
        <w:pStyle w:val="BulletIndent1"/>
      </w:pPr>
      <w:r>
        <w:t>To assist in the preparation</w:t>
      </w:r>
      <w:r w:rsidR="00C74662">
        <w:t xml:space="preserve"> of monthly management accounts</w:t>
      </w:r>
    </w:p>
    <w:p w14:paraId="5F1EFED3" w14:textId="200F2C9E" w:rsidR="00BC5855" w:rsidRDefault="00F31164" w:rsidP="000603C3">
      <w:pPr>
        <w:pStyle w:val="BulletIndent1"/>
      </w:pPr>
      <w:r>
        <w:t xml:space="preserve">To assist in the preparation </w:t>
      </w:r>
      <w:r w:rsidR="00A313E8">
        <w:t>of the annual budgeting process</w:t>
      </w:r>
    </w:p>
    <w:p w14:paraId="012F6ABD" w14:textId="3DF4F97B" w:rsidR="00A313E8" w:rsidRDefault="00A313E8" w:rsidP="000603C3">
      <w:pPr>
        <w:pStyle w:val="BulletIndent1"/>
      </w:pPr>
      <w:r>
        <w:t xml:space="preserve">To assist in the </w:t>
      </w:r>
      <w:r w:rsidR="00C55586">
        <w:t>preparation of monthly financial forecasts</w:t>
      </w:r>
    </w:p>
    <w:p w14:paraId="7A13A9BD" w14:textId="5C80D3F2" w:rsidR="00C55586" w:rsidRPr="00007CA4" w:rsidRDefault="00C55586" w:rsidP="000603C3">
      <w:pPr>
        <w:pStyle w:val="BulletIndent1"/>
      </w:pPr>
      <w:r>
        <w:t>To assist in the preparation of annual statutory financial statements</w:t>
      </w:r>
    </w:p>
    <w:p w14:paraId="043B166D" w14:textId="1108020F" w:rsidR="00F23BEC" w:rsidRDefault="00C55586" w:rsidP="000603C3">
      <w:pPr>
        <w:pStyle w:val="BulletIndent1"/>
      </w:pPr>
      <w:r>
        <w:t xml:space="preserve">To </w:t>
      </w:r>
      <w:r w:rsidR="0011481D">
        <w:t xml:space="preserve">complete balance sheet reconciliations </w:t>
      </w:r>
      <w:proofErr w:type="gramStart"/>
      <w:r w:rsidR="0011481D">
        <w:t>on a monthly basis</w:t>
      </w:r>
      <w:proofErr w:type="gramEnd"/>
    </w:p>
    <w:p w14:paraId="331003ED" w14:textId="2CA9BA2E" w:rsidR="00075831" w:rsidRDefault="005606FE" w:rsidP="000603C3">
      <w:pPr>
        <w:pStyle w:val="BulletIndent1"/>
      </w:pPr>
      <w:r w:rsidRPr="00007CA4">
        <w:t xml:space="preserve">To </w:t>
      </w:r>
      <w:r w:rsidR="00F61075">
        <w:t xml:space="preserve">assist with the analysis of </w:t>
      </w:r>
      <w:r w:rsidR="005A6716">
        <w:t>payroll completed by an outsourced payroll provider</w:t>
      </w:r>
      <w:r w:rsidR="005F5ACC">
        <w:t>.</w:t>
      </w:r>
    </w:p>
    <w:p w14:paraId="01DC4043" w14:textId="00FB1463" w:rsidR="006B4FEA" w:rsidRDefault="007E5510" w:rsidP="006B4FEA">
      <w:pPr>
        <w:pStyle w:val="BulletIndent1"/>
      </w:pPr>
      <w:r>
        <w:t>To su</w:t>
      </w:r>
      <w:r w:rsidR="006764D4">
        <w:t>pport</w:t>
      </w:r>
      <w:r>
        <w:t xml:space="preserve"> the </w:t>
      </w:r>
      <w:r w:rsidR="006764D4">
        <w:t>Payables Clerk</w:t>
      </w:r>
      <w:r>
        <w:t xml:space="preserve"> role and </w:t>
      </w:r>
      <w:r w:rsidR="00BE655D">
        <w:t xml:space="preserve">provide cover </w:t>
      </w:r>
      <w:r w:rsidR="006764D4">
        <w:t xml:space="preserve">for the Payables Clerk role </w:t>
      </w:r>
      <w:r w:rsidR="00BE655D">
        <w:t>when required</w:t>
      </w:r>
    </w:p>
    <w:p w14:paraId="1D62522D" w14:textId="7E9A13C7" w:rsidR="00007CA4" w:rsidRPr="00A109F0" w:rsidRDefault="00387666" w:rsidP="006B4FEA">
      <w:pPr>
        <w:pStyle w:val="BulletIndent1"/>
        <w:tabs>
          <w:tab w:val="clear" w:pos="284"/>
          <w:tab w:val="num" w:pos="426"/>
        </w:tabs>
        <w:rPr>
          <w:rStyle w:val="normaltextrun"/>
        </w:rPr>
      </w:pPr>
      <w:r>
        <w:lastRenderedPageBreak/>
        <w:t xml:space="preserve">To </w:t>
      </w:r>
      <w:r w:rsidRPr="006B4FEA">
        <w:rPr>
          <w:rStyle w:val="normaltextrun"/>
          <w:rFonts w:ascii="Trebuchet MS" w:hAnsi="Trebuchet MS"/>
          <w:color w:val="000000"/>
          <w:bdr w:val="none" w:sz="0" w:space="0" w:color="auto" w:frame="1"/>
        </w:rPr>
        <w:t>s</w:t>
      </w:r>
      <w:r w:rsidR="00007CA4" w:rsidRPr="006B4FEA">
        <w:rPr>
          <w:rStyle w:val="normaltextrun"/>
          <w:rFonts w:ascii="Trebuchet MS" w:hAnsi="Trebuchet MS"/>
          <w:color w:val="000000"/>
          <w:bdr w:val="none" w:sz="0" w:space="0" w:color="auto" w:frame="1"/>
        </w:rPr>
        <w:t>upport the</w:t>
      </w:r>
      <w:r w:rsidR="00E66195" w:rsidRPr="006B4FEA">
        <w:rPr>
          <w:rStyle w:val="normaltextrun"/>
          <w:rFonts w:ascii="Trebuchet MS" w:hAnsi="Trebuchet MS"/>
          <w:color w:val="000000"/>
          <w:bdr w:val="none" w:sz="0" w:space="0" w:color="auto" w:frame="1"/>
        </w:rPr>
        <w:t xml:space="preserve"> </w:t>
      </w:r>
      <w:r w:rsidRPr="006B4FEA">
        <w:rPr>
          <w:rStyle w:val="normaltextrun"/>
          <w:rFonts w:ascii="Trebuchet MS" w:hAnsi="Trebuchet MS"/>
          <w:color w:val="000000"/>
          <w:bdr w:val="none" w:sz="0" w:space="0" w:color="auto" w:frame="1"/>
        </w:rPr>
        <w:t>Accountant</w:t>
      </w:r>
      <w:r w:rsidR="00007CA4" w:rsidRPr="006B4FEA">
        <w:rPr>
          <w:rStyle w:val="normaltextrun"/>
          <w:rFonts w:ascii="Trebuchet MS" w:hAnsi="Trebuchet MS"/>
          <w:color w:val="000000"/>
          <w:bdr w:val="none" w:sz="0" w:space="0" w:color="auto" w:frame="1"/>
        </w:rPr>
        <w:t xml:space="preserve"> in the role out of any finance related projects, such as new software or a change in processes, to ensure successful implementation.</w:t>
      </w:r>
    </w:p>
    <w:p w14:paraId="77F5BCF0" w14:textId="1B02EF03" w:rsidR="00A109F0" w:rsidRPr="00171C56" w:rsidRDefault="00A109F0" w:rsidP="006B4FEA">
      <w:pPr>
        <w:pStyle w:val="BulletIndent1"/>
        <w:tabs>
          <w:tab w:val="clear" w:pos="284"/>
          <w:tab w:val="num" w:pos="426"/>
        </w:tabs>
      </w:pPr>
      <w:r>
        <w:rPr>
          <w:rStyle w:val="normaltextrun"/>
          <w:rFonts w:ascii="Trebuchet MS" w:hAnsi="Trebuchet MS"/>
          <w:color w:val="000000"/>
          <w:bdr w:val="none" w:sz="0" w:space="0" w:color="auto" w:frame="1"/>
        </w:rPr>
        <w:t>To assist the accountant as required.</w:t>
      </w:r>
    </w:p>
    <w:p w14:paraId="05BF65C3" w14:textId="77777777" w:rsidR="00007CA4" w:rsidRDefault="00007CA4" w:rsidP="00007CA4">
      <w:pPr>
        <w:pStyle w:val="BulletIndent1"/>
        <w:numPr>
          <w:ilvl w:val="0"/>
          <w:numId w:val="0"/>
        </w:numPr>
        <w:ind w:left="284"/>
      </w:pPr>
    </w:p>
    <w:p w14:paraId="081CEBE9" w14:textId="77777777" w:rsidR="003E19B5" w:rsidRDefault="003E19B5" w:rsidP="0000419F">
      <w:pPr>
        <w:rPr>
          <w:b/>
        </w:rPr>
      </w:pPr>
      <w:bookmarkStart w:id="0" w:name="_Hlk519090595"/>
    </w:p>
    <w:p w14:paraId="2B009BBE" w14:textId="61A8143A" w:rsidR="0000419F" w:rsidRDefault="00306DBC" w:rsidP="0000419F">
      <w:pPr>
        <w:rPr>
          <w:b/>
        </w:rPr>
      </w:pPr>
      <w:r>
        <w:rPr>
          <w:b/>
        </w:rPr>
        <w:t>BACP Principal</w:t>
      </w:r>
      <w:r w:rsidR="0000419F" w:rsidRPr="00405089">
        <w:rPr>
          <w:b/>
        </w:rPr>
        <w:t xml:space="preserve"> accountability</w:t>
      </w:r>
    </w:p>
    <w:p w14:paraId="4FA98853" w14:textId="77777777" w:rsidR="000603C3" w:rsidRDefault="000603C3" w:rsidP="0000419F">
      <w:pPr>
        <w:rPr>
          <w:b/>
        </w:rPr>
      </w:pPr>
    </w:p>
    <w:p w14:paraId="51639B1E" w14:textId="0C51ACF2" w:rsidR="0000419F" w:rsidRPr="000603C3" w:rsidRDefault="000603C3" w:rsidP="0000419F">
      <w:pPr>
        <w:pStyle w:val="ListParagraph"/>
        <w:numPr>
          <w:ilvl w:val="0"/>
          <w:numId w:val="14"/>
        </w:numPr>
        <w:spacing w:after="160" w:line="256" w:lineRule="auto"/>
        <w:rPr>
          <w:rFonts w:ascii="Trebuchet MS" w:hAnsi="Trebuchet MS"/>
        </w:rPr>
      </w:pPr>
      <w:bookmarkStart w:id="1" w:name="_Hlk523219902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1"/>
    </w:p>
    <w:bookmarkEnd w:id="0"/>
    <w:p w14:paraId="48E78E8C" w14:textId="13C22156" w:rsidR="009306F5" w:rsidRDefault="009306F5" w:rsidP="009306F5">
      <w:pPr>
        <w:pStyle w:val="Heading5"/>
      </w:pPr>
      <w:r>
        <w:t>Context:</w:t>
      </w:r>
    </w:p>
    <w:p w14:paraId="5C156D74" w14:textId="6EAA6B09" w:rsidR="009306F5" w:rsidRDefault="009306F5" w:rsidP="00950E39">
      <w:pPr>
        <w:ind w:left="720"/>
      </w:pPr>
      <w:r w:rsidRPr="00950E39">
        <w:rPr>
          <w:b/>
        </w:rPr>
        <w:t>Operating environment</w:t>
      </w:r>
      <w:r>
        <w:t>:</w:t>
      </w:r>
      <w:r w:rsidR="00B11A85">
        <w:t xml:space="preserve"> </w:t>
      </w:r>
      <w:r w:rsidR="009D3880">
        <w:t>Requires an unders</w:t>
      </w:r>
      <w:r w:rsidR="00950E39">
        <w:t xml:space="preserve">tanding of the function of </w:t>
      </w:r>
      <w:r w:rsidR="00E57DAF">
        <w:t>all</w:t>
      </w:r>
      <w:r w:rsidR="009D3880">
        <w:t xml:space="preserve"> departments and divisions within BACP</w:t>
      </w:r>
      <w:r w:rsidR="00950E39">
        <w:t xml:space="preserve">. </w:t>
      </w:r>
    </w:p>
    <w:p w14:paraId="0FEB51DF" w14:textId="7655A5DF" w:rsidR="009306F5" w:rsidRDefault="009306F5" w:rsidP="009306F5">
      <w:r>
        <w:tab/>
      </w:r>
    </w:p>
    <w:p w14:paraId="0ECD23BD" w14:textId="76FE8051" w:rsidR="009D3880" w:rsidRDefault="009306F5" w:rsidP="005A47FF">
      <w:pPr>
        <w:ind w:left="3600" w:hanging="2880"/>
      </w:pPr>
      <w:r w:rsidRPr="00950E39">
        <w:rPr>
          <w:b/>
        </w:rPr>
        <w:t>Framework &amp; boundaries:</w:t>
      </w:r>
      <w:r w:rsidR="00517714">
        <w:t xml:space="preserve"> </w:t>
      </w:r>
      <w:r w:rsidR="006B4FEA">
        <w:tab/>
      </w:r>
      <w:r w:rsidR="00F673C6">
        <w:t>Statement of Recommended Practice for Accounting and Reporting for Charities (SORP 2015</w:t>
      </w:r>
      <w:r w:rsidR="005A47FF">
        <w:t>(FRS102)), Companies Act 2006, Charities Act 2011, BACP policies.</w:t>
      </w:r>
      <w:r w:rsidR="006B4FEA">
        <w:t xml:space="preserve"> </w:t>
      </w:r>
      <w:r w:rsidR="00DC5719">
        <w:t xml:space="preserve">Payroll and all other associated statutory </w:t>
      </w:r>
      <w:r w:rsidR="00950E39">
        <w:t>requirements.</w:t>
      </w:r>
      <w:r w:rsidR="00950E39" w:rsidRPr="00950E39">
        <w:t xml:space="preserve"> </w:t>
      </w:r>
      <w:r w:rsidR="00950E39">
        <w:t>Works within BACP policies and procedures</w:t>
      </w:r>
    </w:p>
    <w:p w14:paraId="1FF0119A" w14:textId="55330A50" w:rsidR="009306F5" w:rsidRDefault="009306F5" w:rsidP="009306F5"/>
    <w:p w14:paraId="221F9274" w14:textId="1F1676AF" w:rsidR="009306F5" w:rsidRDefault="009306F5" w:rsidP="009306F5">
      <w:r>
        <w:tab/>
        <w:t>Organisation:</w:t>
      </w:r>
      <w:r w:rsidR="00306DBC">
        <w:t xml:space="preserve"> </w:t>
      </w:r>
      <w:r w:rsidR="00A109F0">
        <w:tab/>
      </w:r>
      <w:r w:rsidR="00A109F0">
        <w:tab/>
      </w:r>
      <w:r w:rsidR="00933C23">
        <w:t>see organisation chart</w:t>
      </w:r>
      <w:r w:rsidR="00A109F0">
        <w:tab/>
      </w:r>
    </w:p>
    <w:p w14:paraId="63D25254" w14:textId="16AD5BDA" w:rsidR="007E22DB" w:rsidRDefault="007E22DB" w:rsidP="009306F5"/>
    <w:p w14:paraId="13A96CED" w14:textId="6E7C5F0D" w:rsidR="007E22DB" w:rsidRDefault="007E22DB" w:rsidP="009306F5"/>
    <w:p w14:paraId="27076B88" w14:textId="6687ED3C" w:rsidR="001E36C8" w:rsidRDefault="001E36C8" w:rsidP="009306F5"/>
    <w:p w14:paraId="085CADF4" w14:textId="2F058673" w:rsidR="009306F5" w:rsidRDefault="009306F5" w:rsidP="009306F5">
      <w:pPr>
        <w:pStyle w:val="Heading5"/>
      </w:pPr>
      <w:r>
        <w:t>Relationships:</w:t>
      </w:r>
    </w:p>
    <w:p w14:paraId="290FB724" w14:textId="25134435" w:rsidR="009306F5" w:rsidRDefault="00163952" w:rsidP="00CE3069">
      <w:r>
        <w:t>Direct reports</w:t>
      </w:r>
      <w:r w:rsidR="009306F5">
        <w:t>:</w:t>
      </w:r>
      <w:r w:rsidR="004001BB">
        <w:t xml:space="preserve"> </w:t>
      </w:r>
      <w:r w:rsidR="004001BB">
        <w:tab/>
      </w:r>
      <w:r w:rsidR="00CE3069">
        <w:t>n/a</w:t>
      </w:r>
    </w:p>
    <w:p w14:paraId="7F4319FC" w14:textId="70D1EAC5" w:rsidR="009306F5" w:rsidRDefault="009306F5" w:rsidP="009306F5"/>
    <w:p w14:paraId="40287F14" w14:textId="2CAAE43A" w:rsidR="009306F5" w:rsidRDefault="00235878" w:rsidP="009306F5">
      <w:r>
        <w:t>Manager</w:t>
      </w:r>
      <w:r w:rsidR="00623AE3">
        <w:t>:</w:t>
      </w:r>
      <w:r w:rsidR="00950E39">
        <w:t xml:space="preserve"> </w:t>
      </w:r>
      <w:r w:rsidR="00CE3069">
        <w:tab/>
      </w:r>
      <w:r w:rsidR="00CE3069">
        <w:tab/>
      </w:r>
      <w:r w:rsidR="00950E39">
        <w:t>Daily contact, monthly</w:t>
      </w:r>
      <w:r w:rsidR="00DC5719">
        <w:t xml:space="preserve"> 1-2-1’s</w:t>
      </w:r>
      <w:r w:rsidR="00950E39">
        <w:t xml:space="preserve"> and regular team meetings </w:t>
      </w:r>
    </w:p>
    <w:p w14:paraId="75741324" w14:textId="21191C0F" w:rsidR="00623AE3" w:rsidRDefault="00623AE3" w:rsidP="009306F5"/>
    <w:p w14:paraId="5B563122" w14:textId="3C01D08F" w:rsidR="00623AE3" w:rsidRDefault="00623AE3" w:rsidP="00CE3069">
      <w:r>
        <w:t>Other contacts:</w:t>
      </w:r>
      <w:r w:rsidR="006021A3">
        <w:t xml:space="preserve"> </w:t>
      </w:r>
      <w:r w:rsidR="00CE3069">
        <w:tab/>
      </w:r>
      <w:r w:rsidR="006021A3">
        <w:t>BACP</w:t>
      </w:r>
      <w:r w:rsidR="00071853">
        <w:t xml:space="preserve"> departments</w:t>
      </w:r>
      <w:r w:rsidR="00DC5719">
        <w:t>,</w:t>
      </w:r>
      <w:r w:rsidR="00951044">
        <w:t xml:space="preserve"> payroll provider, suppliers, customers</w:t>
      </w:r>
      <w:r w:rsidR="001833C9">
        <w:t>.</w:t>
      </w:r>
    </w:p>
    <w:p w14:paraId="5D2DAA51" w14:textId="77777777" w:rsidR="00623AE3" w:rsidRDefault="00623AE3" w:rsidP="009306F5"/>
    <w:p w14:paraId="094B7162" w14:textId="69A183FF" w:rsidR="00623AE3" w:rsidRDefault="00623AE3" w:rsidP="00623AE3">
      <w:pPr>
        <w:pStyle w:val="Heading5"/>
      </w:pPr>
      <w:r>
        <w:t>Knowledge &amp; experience:</w:t>
      </w:r>
    </w:p>
    <w:p w14:paraId="458FEDA9" w14:textId="6C069C1F" w:rsidR="00071853" w:rsidRDefault="00B07B9E" w:rsidP="00B07B9E">
      <w:pPr>
        <w:ind w:left="2160" w:hanging="2160"/>
      </w:pPr>
      <w:r>
        <w:t>Education</w:t>
      </w:r>
      <w:r w:rsidR="00071853">
        <w:t>:</w:t>
      </w:r>
      <w:r w:rsidR="00071853">
        <w:tab/>
      </w:r>
      <w:r w:rsidR="00E66195">
        <w:t>CCAB</w:t>
      </w:r>
      <w:r w:rsidR="00852231">
        <w:t xml:space="preserve"> qualified</w:t>
      </w:r>
      <w:r w:rsidR="006B4FEA">
        <w:t>, or qualified by experience</w:t>
      </w:r>
    </w:p>
    <w:p w14:paraId="66DF7328" w14:textId="777CFE9C" w:rsidR="00B07B9E" w:rsidRDefault="00B07B9E" w:rsidP="00B07B9E">
      <w:pPr>
        <w:ind w:left="2160" w:hanging="2160"/>
      </w:pPr>
    </w:p>
    <w:p w14:paraId="46A120AC" w14:textId="5A1F2D38" w:rsidR="00A109F0" w:rsidRDefault="00B07B9E" w:rsidP="00305D05">
      <w:pPr>
        <w:ind w:left="2160" w:hanging="2160"/>
      </w:pPr>
      <w:r>
        <w:t>Experience:</w:t>
      </w:r>
      <w:r>
        <w:tab/>
      </w:r>
      <w:r w:rsidR="00A109F0" w:rsidRPr="00A109F0">
        <w:t>Comfortable working in a paperless office environment.</w:t>
      </w:r>
    </w:p>
    <w:p w14:paraId="15E4297F" w14:textId="0E935E9B" w:rsidR="00305D05" w:rsidRDefault="00257460" w:rsidP="00A109F0">
      <w:pPr>
        <w:ind w:left="2160"/>
      </w:pPr>
      <w:r>
        <w:t xml:space="preserve">Significant practical financial experience required. </w:t>
      </w:r>
      <w:r w:rsidR="00E71E7E">
        <w:t xml:space="preserve">Experience within the charity sector desirable. </w:t>
      </w:r>
      <w:r w:rsidR="00C01158">
        <w:t xml:space="preserve">Recent knowledge of payroll and all associated statutory requirements. </w:t>
      </w:r>
      <w:r w:rsidR="001833B3">
        <w:t>K</w:t>
      </w:r>
      <w:r w:rsidR="00C01158">
        <w:t>nowledge of budgeting and forecasting processes.</w:t>
      </w:r>
      <w:r w:rsidR="00305D05" w:rsidRPr="00305D05">
        <w:t xml:space="preserve"> </w:t>
      </w:r>
      <w:r w:rsidR="00305D05">
        <w:t>Competent using excel spreadsheets and finance systems, particularly Business Central.</w:t>
      </w:r>
    </w:p>
    <w:p w14:paraId="114090B3" w14:textId="6D18B537" w:rsidR="00B07B9E" w:rsidRDefault="00B07B9E" w:rsidP="00B07B9E">
      <w:pPr>
        <w:ind w:left="2160" w:hanging="2160"/>
      </w:pPr>
    </w:p>
    <w:p w14:paraId="429F235D" w14:textId="35A11CF7" w:rsidR="00B07B9E" w:rsidRDefault="00B07B9E" w:rsidP="00B07B9E">
      <w:pPr>
        <w:ind w:left="2160" w:hanging="2160"/>
      </w:pPr>
    </w:p>
    <w:p w14:paraId="208B1B58" w14:textId="43A2141B" w:rsidR="00CC2546" w:rsidRDefault="00B07B9E" w:rsidP="00950E39">
      <w:r>
        <w:lastRenderedPageBreak/>
        <w:tab/>
      </w:r>
    </w:p>
    <w:p w14:paraId="5D037DD1" w14:textId="43284A8D" w:rsidR="00CC2546" w:rsidRDefault="008F7C6B" w:rsidP="00CC2546">
      <w:r>
        <w:t xml:space="preserve">Excellent </w:t>
      </w:r>
      <w:r w:rsidR="006E6966">
        <w:t>communication skills with the abil</w:t>
      </w:r>
      <w:r w:rsidR="00CC2546">
        <w:t xml:space="preserve">ity to convey complex financial </w:t>
      </w:r>
      <w:r w:rsidR="006E6966">
        <w:t xml:space="preserve">information to non-finance colleagues in a way that is easily understood. </w:t>
      </w:r>
    </w:p>
    <w:p w14:paraId="665B8B09" w14:textId="77777777" w:rsidR="00CC2546" w:rsidRDefault="00CC2546" w:rsidP="00B07B9E">
      <w:pPr>
        <w:ind w:left="2160" w:hanging="2160"/>
      </w:pPr>
    </w:p>
    <w:p w14:paraId="4B9BC545" w14:textId="77777777" w:rsidR="00CC2546" w:rsidRDefault="006E6966" w:rsidP="00CC2546">
      <w:r>
        <w:t xml:space="preserve">Ability to develop relationships with key stakeholders and work across department, engaging with staff and teams. </w:t>
      </w:r>
    </w:p>
    <w:p w14:paraId="34C70992" w14:textId="77777777" w:rsidR="00CC2546" w:rsidRDefault="00CC2546" w:rsidP="00B07B9E">
      <w:pPr>
        <w:ind w:left="2160" w:hanging="2160"/>
      </w:pPr>
    </w:p>
    <w:p w14:paraId="0EDA8A66" w14:textId="2248B7AC" w:rsidR="00CC2546" w:rsidRDefault="006E6966" w:rsidP="00CC2546">
      <w:r>
        <w:t xml:space="preserve">Tact, </w:t>
      </w:r>
      <w:proofErr w:type="gramStart"/>
      <w:r>
        <w:t>discretion</w:t>
      </w:r>
      <w:proofErr w:type="gramEnd"/>
      <w:r w:rsidR="00781CD1">
        <w:t xml:space="preserve"> and</w:t>
      </w:r>
      <w:r>
        <w:t xml:space="preserve"> a commitment to the delivery of </w:t>
      </w:r>
      <w:r w:rsidR="006B4FEA">
        <w:t>high-quality</w:t>
      </w:r>
      <w:r>
        <w:t xml:space="preserve"> customer service. </w:t>
      </w:r>
    </w:p>
    <w:p w14:paraId="724E6674" w14:textId="77777777" w:rsidR="00CC2546" w:rsidRDefault="00CC2546" w:rsidP="00B07B9E">
      <w:pPr>
        <w:ind w:left="2160" w:hanging="2160"/>
      </w:pPr>
    </w:p>
    <w:p w14:paraId="554CBAF0" w14:textId="578D9CF4" w:rsidR="00B07B9E" w:rsidRPr="00071853" w:rsidRDefault="006E6966" w:rsidP="00CC2546">
      <w:pPr>
        <w:ind w:hanging="33"/>
      </w:pPr>
      <w:r>
        <w:t xml:space="preserve">A </w:t>
      </w:r>
      <w:r w:rsidR="0038465E">
        <w:t>flexible</w:t>
      </w:r>
      <w:r>
        <w:t xml:space="preserve"> approach to work with the ability to prioritise own workload and meet strict deadlines</w:t>
      </w:r>
      <w:r w:rsidR="00D92E6F">
        <w:t xml:space="preserve"> and ensure high accuracy</w:t>
      </w:r>
      <w:r>
        <w:t>.</w:t>
      </w:r>
    </w:p>
    <w:p w14:paraId="077DD2B9" w14:textId="2F202274" w:rsidR="00B76863" w:rsidRDefault="00B76863" w:rsidP="00B76863"/>
    <w:p w14:paraId="53F0D535" w14:textId="4EB3C230" w:rsidR="00171C56" w:rsidRDefault="00171C56" w:rsidP="00171C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Good level </w:t>
      </w:r>
      <w:r w:rsidRPr="00803B9B">
        <w:rPr>
          <w:rFonts w:ascii="Trebuchet MS" w:hAnsi="Trebuchet MS"/>
        </w:rPr>
        <w:t>of computer literacy skills across different systems</w:t>
      </w:r>
      <w:r>
        <w:rPr>
          <w:rFonts w:ascii="Trebuchet MS" w:hAnsi="Trebuchet MS"/>
        </w:rPr>
        <w:t xml:space="preserve">, MS </w:t>
      </w:r>
      <w:proofErr w:type="gramStart"/>
      <w:r>
        <w:rPr>
          <w:rFonts w:ascii="Trebuchet MS" w:hAnsi="Trebuchet MS"/>
        </w:rPr>
        <w:t>Office</w:t>
      </w:r>
      <w:proofErr w:type="gramEnd"/>
      <w:r>
        <w:rPr>
          <w:rFonts w:ascii="Trebuchet MS" w:hAnsi="Trebuchet MS"/>
        </w:rPr>
        <w:t xml:space="preserve"> and ability to learn and adapt to IT systems</w:t>
      </w:r>
    </w:p>
    <w:p w14:paraId="612D9097" w14:textId="77777777" w:rsidR="00171C56" w:rsidRDefault="00171C56" w:rsidP="00171C56">
      <w:pPr>
        <w:rPr>
          <w:rFonts w:ascii="Trebuchet MS" w:hAnsi="Trebuchet MS"/>
        </w:rPr>
      </w:pPr>
    </w:p>
    <w:p w14:paraId="47803E88" w14:textId="2E70EC2A" w:rsidR="00623AE3" w:rsidRPr="00C01158" w:rsidRDefault="00623AE3" w:rsidP="006E27A4">
      <w:pPr>
        <w:pStyle w:val="Heading5"/>
        <w:ind w:left="2160" w:hanging="2160"/>
        <w:rPr>
          <w:b w:val="0"/>
        </w:rPr>
      </w:pPr>
      <w:r>
        <w:t>Job challenge:</w:t>
      </w:r>
      <w:r w:rsidR="000603C3">
        <w:tab/>
      </w:r>
      <w:r w:rsidR="006021A3">
        <w:rPr>
          <w:b w:val="0"/>
        </w:rPr>
        <w:t xml:space="preserve">Assisting </w:t>
      </w:r>
      <w:r w:rsidR="0086421B">
        <w:rPr>
          <w:b w:val="0"/>
        </w:rPr>
        <w:t>non-finance colleagues with their understanding of fina</w:t>
      </w:r>
      <w:r w:rsidR="00F55A43">
        <w:rPr>
          <w:b w:val="0"/>
        </w:rPr>
        <w:t>nce policies and processes</w:t>
      </w:r>
    </w:p>
    <w:p w14:paraId="4DB3754C" w14:textId="3A66A387" w:rsidR="00B76863" w:rsidRDefault="00B76863" w:rsidP="00B76863"/>
    <w:p w14:paraId="4C4BF4EB" w14:textId="6BB89C9A" w:rsidR="00B76863" w:rsidRPr="00B76863" w:rsidRDefault="00B76863" w:rsidP="00B76863"/>
    <w:p w14:paraId="4E6F7789" w14:textId="0418D867" w:rsidR="00623AE3" w:rsidRPr="009306F5" w:rsidRDefault="00623AE3" w:rsidP="00171C56">
      <w:pPr>
        <w:pStyle w:val="Heading5"/>
      </w:pPr>
      <w:r>
        <w:t>Additional information</w:t>
      </w: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A242" w14:textId="77777777" w:rsidR="005F12AE" w:rsidRDefault="005F12AE" w:rsidP="00F21852">
      <w:r>
        <w:separator/>
      </w:r>
    </w:p>
    <w:p w14:paraId="54597B58" w14:textId="77777777" w:rsidR="005F12AE" w:rsidRDefault="005F12AE"/>
    <w:p w14:paraId="07DDAFBF" w14:textId="77777777" w:rsidR="005F12AE" w:rsidRDefault="005F12AE"/>
  </w:endnote>
  <w:endnote w:type="continuationSeparator" w:id="0">
    <w:p w14:paraId="02846DA3" w14:textId="77777777" w:rsidR="005F12AE" w:rsidRDefault="005F12AE" w:rsidP="00F21852">
      <w:r>
        <w:continuationSeparator/>
      </w:r>
    </w:p>
    <w:p w14:paraId="2D6EA71C" w14:textId="77777777" w:rsidR="005F12AE" w:rsidRDefault="005F12AE"/>
    <w:p w14:paraId="090DAD0D" w14:textId="77777777" w:rsidR="005F12AE" w:rsidRDefault="005F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7E21BEB2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BA1142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384B42E3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BA1142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1FBA4" w14:textId="77777777" w:rsidR="005F12AE" w:rsidRDefault="005F12AE" w:rsidP="00F21852">
      <w:r>
        <w:separator/>
      </w:r>
    </w:p>
    <w:p w14:paraId="5B7F8DBB" w14:textId="77777777" w:rsidR="005F12AE" w:rsidRDefault="005F12AE"/>
    <w:p w14:paraId="476D1FE4" w14:textId="77777777" w:rsidR="005F12AE" w:rsidRDefault="005F12AE"/>
  </w:footnote>
  <w:footnote w:type="continuationSeparator" w:id="0">
    <w:p w14:paraId="3BA279F3" w14:textId="77777777" w:rsidR="005F12AE" w:rsidRDefault="005F12AE" w:rsidP="00F21852">
      <w:r>
        <w:continuationSeparator/>
      </w:r>
    </w:p>
    <w:p w14:paraId="632D2ABA" w14:textId="77777777" w:rsidR="005F12AE" w:rsidRDefault="005F12AE"/>
    <w:p w14:paraId="56CD1E66" w14:textId="77777777" w:rsidR="005F12AE" w:rsidRDefault="005F1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16C3412C" w:rsidR="00ED4CA2" w:rsidRDefault="00950E3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>Role Profile</w:t>
    </w:r>
  </w:p>
  <w:p w14:paraId="5BA7F44C" w14:textId="77777777" w:rsidR="00950E39" w:rsidRDefault="00950E3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658E4234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Hlk500258708"/>
    <w:r w:rsidR="00950E39">
      <w:rPr>
        <w:rStyle w:val="Heading1Char"/>
        <w:color w:val="A7ACA0" w:themeColor="accent4"/>
      </w:rPr>
      <w:t>Role Profile</w:t>
    </w:r>
    <w:r w:rsidR="00623AE3" w:rsidRPr="003F3A5C">
      <w:rPr>
        <w:rStyle w:val="Heading1Char"/>
        <w:color w:val="A7ACA0" w:themeColor="accent4"/>
      </w:rPr>
      <w:t xml:space="preserve"> </w:t>
    </w:r>
    <w:bookmarkEnd w:id="2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462528"/>
    <w:multiLevelType w:val="hybridMultilevel"/>
    <w:tmpl w:val="6DFA96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044967"/>
    <w:multiLevelType w:val="hybridMultilevel"/>
    <w:tmpl w:val="8EDAD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7F70"/>
    <w:multiLevelType w:val="hybridMultilevel"/>
    <w:tmpl w:val="EBD4E5A8"/>
    <w:lvl w:ilvl="0" w:tplc="2D323154"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FA4C8F"/>
    <w:multiLevelType w:val="multilevel"/>
    <w:tmpl w:val="2416A168"/>
    <w:styleLink w:val="BACPBulletList"/>
    <w:lvl w:ilvl="0">
      <w:start w:val="1"/>
      <w:numFmt w:val="decimal"/>
      <w:pStyle w:val="BulletInden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AB36FB"/>
    <w:multiLevelType w:val="hybridMultilevel"/>
    <w:tmpl w:val="E8F83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66B8"/>
    <w:multiLevelType w:val="hybridMultilevel"/>
    <w:tmpl w:val="F8BA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1A98"/>
    <w:multiLevelType w:val="hybridMultilevel"/>
    <w:tmpl w:val="E1889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1B1A"/>
    <w:rsid w:val="0000419F"/>
    <w:rsid w:val="000044D4"/>
    <w:rsid w:val="00007CA4"/>
    <w:rsid w:val="000326FB"/>
    <w:rsid w:val="000347B4"/>
    <w:rsid w:val="00036E05"/>
    <w:rsid w:val="00046055"/>
    <w:rsid w:val="000603C3"/>
    <w:rsid w:val="00071853"/>
    <w:rsid w:val="00075831"/>
    <w:rsid w:val="000C03FA"/>
    <w:rsid w:val="000C4AB7"/>
    <w:rsid w:val="000D660A"/>
    <w:rsid w:val="00103C0A"/>
    <w:rsid w:val="0011481D"/>
    <w:rsid w:val="00116D37"/>
    <w:rsid w:val="00131649"/>
    <w:rsid w:val="00157633"/>
    <w:rsid w:val="00163952"/>
    <w:rsid w:val="00163A9C"/>
    <w:rsid w:val="00170DF7"/>
    <w:rsid w:val="00171C56"/>
    <w:rsid w:val="001833B3"/>
    <w:rsid w:val="001833C9"/>
    <w:rsid w:val="001860A3"/>
    <w:rsid w:val="001A1CBB"/>
    <w:rsid w:val="001D7D7C"/>
    <w:rsid w:val="001E36C8"/>
    <w:rsid w:val="001F018A"/>
    <w:rsid w:val="00212327"/>
    <w:rsid w:val="00223F17"/>
    <w:rsid w:val="00230BF9"/>
    <w:rsid w:val="00235878"/>
    <w:rsid w:val="00235C11"/>
    <w:rsid w:val="002523E1"/>
    <w:rsid w:val="00257460"/>
    <w:rsid w:val="00267BC0"/>
    <w:rsid w:val="002772B5"/>
    <w:rsid w:val="002807F3"/>
    <w:rsid w:val="00291618"/>
    <w:rsid w:val="002A2BEE"/>
    <w:rsid w:val="002C7C0B"/>
    <w:rsid w:val="002D405D"/>
    <w:rsid w:val="002D5035"/>
    <w:rsid w:val="00300392"/>
    <w:rsid w:val="00305D05"/>
    <w:rsid w:val="00306DBC"/>
    <w:rsid w:val="00330CC2"/>
    <w:rsid w:val="00334711"/>
    <w:rsid w:val="00334A0E"/>
    <w:rsid w:val="003420F8"/>
    <w:rsid w:val="003617E4"/>
    <w:rsid w:val="0038465E"/>
    <w:rsid w:val="00387666"/>
    <w:rsid w:val="003A090F"/>
    <w:rsid w:val="003A6A45"/>
    <w:rsid w:val="003D35D9"/>
    <w:rsid w:val="003E19B5"/>
    <w:rsid w:val="003F3A5C"/>
    <w:rsid w:val="004001BB"/>
    <w:rsid w:val="00422FB9"/>
    <w:rsid w:val="00450034"/>
    <w:rsid w:val="004508E7"/>
    <w:rsid w:val="004556F5"/>
    <w:rsid w:val="004B625E"/>
    <w:rsid w:val="004C667B"/>
    <w:rsid w:val="00517714"/>
    <w:rsid w:val="005217A5"/>
    <w:rsid w:val="00550D63"/>
    <w:rsid w:val="00551AEF"/>
    <w:rsid w:val="00557C9E"/>
    <w:rsid w:val="005606FE"/>
    <w:rsid w:val="00560AE1"/>
    <w:rsid w:val="00564D94"/>
    <w:rsid w:val="00565EC9"/>
    <w:rsid w:val="00571EC0"/>
    <w:rsid w:val="005829F6"/>
    <w:rsid w:val="005A47FF"/>
    <w:rsid w:val="005A6716"/>
    <w:rsid w:val="005B08D0"/>
    <w:rsid w:val="005E0B55"/>
    <w:rsid w:val="005F12AE"/>
    <w:rsid w:val="005F5ACC"/>
    <w:rsid w:val="005F7841"/>
    <w:rsid w:val="006021A3"/>
    <w:rsid w:val="00623AE3"/>
    <w:rsid w:val="0063548B"/>
    <w:rsid w:val="00642CE0"/>
    <w:rsid w:val="00662632"/>
    <w:rsid w:val="00667383"/>
    <w:rsid w:val="006764D4"/>
    <w:rsid w:val="00677183"/>
    <w:rsid w:val="006971EB"/>
    <w:rsid w:val="006B02FA"/>
    <w:rsid w:val="006B4FEA"/>
    <w:rsid w:val="006B696D"/>
    <w:rsid w:val="006E27A4"/>
    <w:rsid w:val="006E6966"/>
    <w:rsid w:val="00717F48"/>
    <w:rsid w:val="007304C4"/>
    <w:rsid w:val="0073143C"/>
    <w:rsid w:val="007574B3"/>
    <w:rsid w:val="00781CD1"/>
    <w:rsid w:val="007C4AF7"/>
    <w:rsid w:val="007D6368"/>
    <w:rsid w:val="007D64E1"/>
    <w:rsid w:val="007D6890"/>
    <w:rsid w:val="007E22DB"/>
    <w:rsid w:val="007E3BDE"/>
    <w:rsid w:val="007E5510"/>
    <w:rsid w:val="007E61D1"/>
    <w:rsid w:val="007E7F93"/>
    <w:rsid w:val="0085178E"/>
    <w:rsid w:val="00852231"/>
    <w:rsid w:val="0086421B"/>
    <w:rsid w:val="008871BD"/>
    <w:rsid w:val="00893232"/>
    <w:rsid w:val="008F7C6B"/>
    <w:rsid w:val="00913DE0"/>
    <w:rsid w:val="00917C0F"/>
    <w:rsid w:val="00927F99"/>
    <w:rsid w:val="009306F5"/>
    <w:rsid w:val="009319FA"/>
    <w:rsid w:val="00932FB4"/>
    <w:rsid w:val="00933C23"/>
    <w:rsid w:val="009360EF"/>
    <w:rsid w:val="00941D47"/>
    <w:rsid w:val="00950E39"/>
    <w:rsid w:val="00951044"/>
    <w:rsid w:val="00955411"/>
    <w:rsid w:val="0097150E"/>
    <w:rsid w:val="009A3937"/>
    <w:rsid w:val="009A54C0"/>
    <w:rsid w:val="009C1264"/>
    <w:rsid w:val="009D3880"/>
    <w:rsid w:val="00A109F0"/>
    <w:rsid w:val="00A313E8"/>
    <w:rsid w:val="00A7603C"/>
    <w:rsid w:val="00A97777"/>
    <w:rsid w:val="00AA35AD"/>
    <w:rsid w:val="00AC2288"/>
    <w:rsid w:val="00AC4A38"/>
    <w:rsid w:val="00AF25ED"/>
    <w:rsid w:val="00B07B9E"/>
    <w:rsid w:val="00B11A85"/>
    <w:rsid w:val="00B3751F"/>
    <w:rsid w:val="00B61204"/>
    <w:rsid w:val="00B76863"/>
    <w:rsid w:val="00B809E2"/>
    <w:rsid w:val="00B901C3"/>
    <w:rsid w:val="00BA1142"/>
    <w:rsid w:val="00BA4B8C"/>
    <w:rsid w:val="00BC5855"/>
    <w:rsid w:val="00BE655D"/>
    <w:rsid w:val="00BF02A2"/>
    <w:rsid w:val="00C01158"/>
    <w:rsid w:val="00C12E63"/>
    <w:rsid w:val="00C1775D"/>
    <w:rsid w:val="00C51FF1"/>
    <w:rsid w:val="00C55586"/>
    <w:rsid w:val="00C74662"/>
    <w:rsid w:val="00C807B9"/>
    <w:rsid w:val="00C80B74"/>
    <w:rsid w:val="00C80C7C"/>
    <w:rsid w:val="00CA105A"/>
    <w:rsid w:val="00CB57F1"/>
    <w:rsid w:val="00CC2546"/>
    <w:rsid w:val="00CC686B"/>
    <w:rsid w:val="00CD1C93"/>
    <w:rsid w:val="00CE3069"/>
    <w:rsid w:val="00CE641B"/>
    <w:rsid w:val="00CE6634"/>
    <w:rsid w:val="00CF39A4"/>
    <w:rsid w:val="00D03148"/>
    <w:rsid w:val="00D4402D"/>
    <w:rsid w:val="00D819F6"/>
    <w:rsid w:val="00D92E6F"/>
    <w:rsid w:val="00DC5719"/>
    <w:rsid w:val="00E13D29"/>
    <w:rsid w:val="00E566B2"/>
    <w:rsid w:val="00E57DAF"/>
    <w:rsid w:val="00E66195"/>
    <w:rsid w:val="00E71E7E"/>
    <w:rsid w:val="00E91C1B"/>
    <w:rsid w:val="00EB3C99"/>
    <w:rsid w:val="00EC1C30"/>
    <w:rsid w:val="00ED4CA2"/>
    <w:rsid w:val="00ED5480"/>
    <w:rsid w:val="00EE4DBA"/>
    <w:rsid w:val="00EF1BE0"/>
    <w:rsid w:val="00F21852"/>
    <w:rsid w:val="00F23BEC"/>
    <w:rsid w:val="00F31164"/>
    <w:rsid w:val="00F4055A"/>
    <w:rsid w:val="00F55A43"/>
    <w:rsid w:val="00F61075"/>
    <w:rsid w:val="00F673C6"/>
    <w:rsid w:val="00F70220"/>
    <w:rsid w:val="00F94012"/>
    <w:rsid w:val="00FB4B62"/>
    <w:rsid w:val="00FF2104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EC9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00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7AEF9DF644440B417BEE17A76B4EE" ma:contentTypeVersion="8" ma:contentTypeDescription="Create a new document." ma:contentTypeScope="" ma:versionID="51c3e8c7cea86d911a356c04aa5b5469">
  <xsd:schema xmlns:xsd="http://www.w3.org/2001/XMLSchema" xmlns:xs="http://www.w3.org/2001/XMLSchema" xmlns:p="http://schemas.microsoft.com/office/2006/metadata/properties" xmlns:ns2="c209ca37-b1e7-4761-9ba3-e6b59fb3b322" targetNamespace="http://schemas.microsoft.com/office/2006/metadata/properties" ma:root="true" ma:fieldsID="6b7d085ee04a4a9da03076817ce48d74" ns2:_="">
    <xsd:import namespace="c209ca37-b1e7-4761-9ba3-e6b59fb3b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ca37-b1e7-4761-9ba3-e6b59fb3b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c209ca37-b1e7-4761-9ba3-e6b59fb3b32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CD505-CE33-4CB5-95FD-6704A4F66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ca37-b1e7-4761-9ba3-e6b59fb3b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 Cattell</dc:creator>
  <cp:lastModifiedBy>Susan Campbell</cp:lastModifiedBy>
  <cp:revision>2</cp:revision>
  <cp:lastPrinted>2018-09-06T08:19:00Z</cp:lastPrinted>
  <dcterms:created xsi:type="dcterms:W3CDTF">2020-10-16T15:08:00Z</dcterms:created>
  <dcterms:modified xsi:type="dcterms:W3CDTF">2020-10-16T15:08:00Z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0x01010027E7AEF9DF644440B417BEE17A76B4EE</vt:lpwstr>
  </property>
</Properties>
</file>